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
        <w:ind w:firstLine="0" w:firstLineChars="0"/>
        <w:rPr>
          <w:rFonts w:ascii="Times New Roman" w:hAnsi="Times New Roman" w:cs="Times New Roman"/>
          <w:sz w:val="24"/>
          <w:szCs w:val="24"/>
          <w:lang w:eastAsia="zh-CN"/>
        </w:rPr>
      </w:pPr>
    </w:p>
    <w:p>
      <w:pPr>
        <w:pStyle w:val="9"/>
        <w:ind w:firstLine="480"/>
        <w:rPr>
          <w:rFonts w:ascii="Times New Roman" w:hAnsi="Times New Roman" w:cs="Times New Roman"/>
          <w:sz w:val="24"/>
          <w:szCs w:val="24"/>
          <w:lang w:eastAsia="zh-CN"/>
        </w:rPr>
      </w:pPr>
    </w:p>
    <w:p>
      <w:pPr>
        <w:spacing w:before="120" w:line="360" w:lineRule="auto"/>
        <w:ind w:firstLine="0" w:firstLineChars="0"/>
        <w:jc w:val="center"/>
        <w:rPr>
          <w:rFonts w:ascii="Times New Roman" w:hAnsi="Times New Roman" w:eastAsia="黑体" w:cs="Times New Roman"/>
          <w:snapToGrid w:val="0"/>
          <w:sz w:val="36"/>
          <w:szCs w:val="44"/>
          <w:lang w:eastAsia="zh-CN"/>
        </w:rPr>
      </w:pPr>
      <w:r>
        <w:rPr>
          <w:rFonts w:hint="eastAsia" w:ascii="Times New Roman" w:hAnsi="Times New Roman" w:eastAsia="黑体" w:cs="Times New Roman"/>
          <w:snapToGrid w:val="0"/>
          <w:sz w:val="36"/>
          <w:szCs w:val="44"/>
          <w:lang w:eastAsia="zh-CN"/>
        </w:rPr>
        <w:t>哈萨克斯坦阿克套160MW燃机项目厂前6kV架空线施工</w:t>
      </w:r>
    </w:p>
    <w:p>
      <w:pPr>
        <w:pStyle w:val="9"/>
        <w:ind w:firstLine="482"/>
        <w:rPr>
          <w:rFonts w:ascii="Times New Roman" w:hAnsi="Times New Roman" w:cs="Times New Roman"/>
          <w:b/>
          <w:sz w:val="32"/>
          <w:szCs w:val="24"/>
          <w:lang w:val="ru-RU" w:eastAsia="zh-CN"/>
        </w:rPr>
      </w:pPr>
      <w:r>
        <w:rPr>
          <w:rFonts w:ascii="Times New Roman" w:hAnsi="Times New Roman" w:cs="Times New Roman"/>
          <w:b/>
          <w:sz w:val="24"/>
          <w:lang w:val="ru-RU"/>
        </w:rPr>
        <w:t xml:space="preserve">Строительство воздушной линии 6 кВ перед заводом в рамках проекта газотурбинной электростанции мощностью </w:t>
      </w:r>
      <w:r>
        <w:rPr>
          <w:rFonts w:ascii="Times New Roman" w:hAnsi="Times New Roman" w:cs="Times New Roman"/>
          <w:b/>
          <w:sz w:val="24"/>
        </w:rPr>
        <w:t>160 МВт в Актау, Казахстан</w:t>
      </w:r>
    </w:p>
    <w:p>
      <w:pPr>
        <w:pStyle w:val="9"/>
        <w:ind w:firstLine="480"/>
        <w:rPr>
          <w:rFonts w:ascii="Times New Roman" w:hAnsi="Times New Roman" w:cs="Times New Roman"/>
          <w:sz w:val="24"/>
          <w:szCs w:val="24"/>
          <w:lang w:val="ru-RU" w:eastAsia="zh-CN"/>
        </w:rPr>
      </w:pPr>
    </w:p>
    <w:p>
      <w:pPr>
        <w:spacing w:before="120" w:line="360" w:lineRule="auto"/>
        <w:ind w:firstLine="0" w:firstLineChars="0"/>
        <w:jc w:val="center"/>
        <w:rPr>
          <w:rFonts w:ascii="Times New Roman" w:hAnsi="Times New Roman" w:eastAsia="黑体" w:cs="Times New Roman"/>
          <w:sz w:val="84"/>
          <w:szCs w:val="84"/>
          <w:lang w:val="ru-RU" w:eastAsia="zh-CN"/>
        </w:rPr>
      </w:pPr>
      <w:r>
        <w:rPr>
          <w:rFonts w:ascii="Times New Roman" w:hAnsi="Times New Roman" w:eastAsia="黑体" w:cs="Times New Roman"/>
          <w:sz w:val="84"/>
          <w:szCs w:val="84"/>
          <w:lang w:eastAsia="zh-CN"/>
        </w:rPr>
        <w:t>直接采购文件</w:t>
      </w:r>
    </w:p>
    <w:p>
      <w:pPr>
        <w:pStyle w:val="2"/>
        <w:ind w:left="0" w:leftChars="0" w:firstLine="0" w:firstLineChars="0"/>
        <w:jc w:val="center"/>
        <w:rPr>
          <w:rFonts w:ascii="Times New Roman" w:hAnsi="Times New Roman"/>
          <w:sz w:val="36"/>
          <w:szCs w:val="40"/>
          <w:lang w:val="ru-RU" w:eastAsia="zh-CN"/>
        </w:rPr>
      </w:pPr>
      <w:r>
        <w:rPr>
          <w:rFonts w:ascii="Times New Roman" w:hAnsi="Times New Roman"/>
          <w:sz w:val="36"/>
          <w:szCs w:val="40"/>
          <w:lang w:val="ru-RU" w:eastAsia="zh-CN"/>
        </w:rPr>
        <w:t>Документация о прямых закупках</w:t>
      </w:r>
    </w:p>
    <w:p>
      <w:pPr>
        <w:spacing w:before="120" w:line="360" w:lineRule="auto"/>
        <w:ind w:firstLine="0" w:firstLineChars="0"/>
        <w:jc w:val="center"/>
        <w:rPr>
          <w:rFonts w:ascii="Times New Roman" w:hAnsi="Times New Roman" w:cs="Times New Roman"/>
          <w:sz w:val="32"/>
          <w:szCs w:val="32"/>
          <w:lang w:val="ru-RU" w:eastAsia="zh-CN"/>
        </w:rPr>
      </w:pPr>
      <w:r>
        <w:rPr>
          <w:rFonts w:ascii="Times New Roman" w:hAnsi="Times New Roman" w:cs="Times New Roman"/>
          <w:sz w:val="32"/>
          <w:szCs w:val="32"/>
          <w:lang w:eastAsia="zh-CN"/>
        </w:rPr>
        <w:t>采购编号</w:t>
      </w:r>
      <w:r>
        <w:rPr>
          <w:rFonts w:ascii="Times New Roman" w:hAnsi="Times New Roman" w:cs="Times New Roman"/>
          <w:sz w:val="32"/>
          <w:szCs w:val="32"/>
          <w:lang w:val="ru-RU" w:eastAsia="zh-CN"/>
        </w:rPr>
        <w:t>：</w:t>
      </w:r>
      <w:r>
        <w:rPr>
          <w:rFonts w:hint="eastAsia" w:ascii="Times New Roman" w:hAnsi="Times New Roman" w:cs="Times New Roman"/>
          <w:sz w:val="32"/>
          <w:szCs w:val="32"/>
          <w:lang w:eastAsia="zh-CN"/>
        </w:rPr>
        <w:t>HDHT</w:t>
      </w:r>
      <w:r>
        <w:rPr>
          <w:rFonts w:hint="eastAsia" w:ascii="Times New Roman" w:hAnsi="Times New Roman" w:cs="Times New Roman"/>
          <w:sz w:val="32"/>
          <w:szCs w:val="32"/>
          <w:lang w:val="ru-RU" w:eastAsia="zh-CN"/>
        </w:rPr>
        <w:t>-</w:t>
      </w:r>
      <w:r>
        <w:rPr>
          <w:rFonts w:hint="eastAsia" w:ascii="Times New Roman" w:hAnsi="Times New Roman" w:cs="Times New Roman"/>
          <w:sz w:val="32"/>
          <w:szCs w:val="32"/>
          <w:lang w:eastAsia="zh-CN"/>
        </w:rPr>
        <w:t>AKT</w:t>
      </w:r>
      <w:r>
        <w:rPr>
          <w:rFonts w:hint="eastAsia" w:ascii="Times New Roman" w:hAnsi="Times New Roman" w:cs="Times New Roman"/>
          <w:sz w:val="32"/>
          <w:szCs w:val="32"/>
          <w:lang w:val="ru-RU" w:eastAsia="zh-CN"/>
        </w:rPr>
        <w:t>-</w:t>
      </w:r>
      <w:r>
        <w:rPr>
          <w:rFonts w:hint="eastAsia" w:ascii="Times New Roman" w:hAnsi="Times New Roman" w:cs="Times New Roman"/>
          <w:sz w:val="32"/>
          <w:szCs w:val="32"/>
          <w:lang w:eastAsia="zh-CN"/>
        </w:rPr>
        <w:t>GC</w:t>
      </w:r>
      <w:r>
        <w:rPr>
          <w:rFonts w:hint="eastAsia" w:ascii="Times New Roman" w:hAnsi="Times New Roman" w:cs="Times New Roman"/>
          <w:sz w:val="32"/>
          <w:szCs w:val="32"/>
          <w:lang w:val="ru-RU" w:eastAsia="zh-CN"/>
        </w:rPr>
        <w:t>-003</w:t>
      </w:r>
    </w:p>
    <w:p>
      <w:pPr>
        <w:pStyle w:val="2"/>
        <w:ind w:left="0" w:leftChars="0" w:firstLine="0" w:firstLineChars="0"/>
        <w:jc w:val="center"/>
        <w:rPr>
          <w:rFonts w:ascii="Times New Roman" w:hAnsi="Times New Roman"/>
          <w:lang w:val="ru-RU" w:eastAsia="zh-CN"/>
        </w:rPr>
      </w:pPr>
      <w:r>
        <w:rPr>
          <w:rFonts w:ascii="Times New Roman" w:hAnsi="Times New Roman"/>
          <w:lang w:val="ru-RU" w:eastAsia="zh-CN"/>
        </w:rPr>
        <w:t xml:space="preserve">Номер закупки: </w:t>
      </w:r>
      <w:r>
        <w:rPr>
          <w:rFonts w:hint="eastAsia" w:ascii="Times New Roman" w:hAnsi="Times New Roman"/>
          <w:lang w:eastAsia="zh-CN"/>
        </w:rPr>
        <w:t>HDHT</w:t>
      </w:r>
      <w:r>
        <w:rPr>
          <w:rFonts w:hint="eastAsia" w:ascii="Times New Roman" w:hAnsi="Times New Roman"/>
          <w:lang w:val="ru-RU" w:eastAsia="zh-CN"/>
        </w:rPr>
        <w:t>-</w:t>
      </w:r>
      <w:r>
        <w:rPr>
          <w:rFonts w:hint="eastAsia" w:ascii="Times New Roman" w:hAnsi="Times New Roman"/>
          <w:lang w:eastAsia="zh-CN"/>
        </w:rPr>
        <w:t>AKT</w:t>
      </w:r>
      <w:r>
        <w:rPr>
          <w:rFonts w:hint="eastAsia" w:ascii="Times New Roman" w:hAnsi="Times New Roman"/>
          <w:lang w:val="ru-RU" w:eastAsia="zh-CN"/>
        </w:rPr>
        <w:t>-</w:t>
      </w:r>
      <w:r>
        <w:rPr>
          <w:rFonts w:hint="eastAsia" w:ascii="Times New Roman" w:hAnsi="Times New Roman"/>
          <w:lang w:eastAsia="zh-CN"/>
        </w:rPr>
        <w:t>GC</w:t>
      </w:r>
      <w:r>
        <w:rPr>
          <w:rFonts w:hint="eastAsia" w:ascii="Times New Roman" w:hAnsi="Times New Roman"/>
          <w:lang w:val="ru-RU" w:eastAsia="zh-CN"/>
        </w:rPr>
        <w:t>-003</w:t>
      </w:r>
    </w:p>
    <w:p>
      <w:pPr>
        <w:pStyle w:val="9"/>
        <w:ind w:firstLine="480"/>
        <w:rPr>
          <w:rFonts w:ascii="Times New Roman" w:hAnsi="Times New Roman" w:cs="Times New Roman"/>
          <w:sz w:val="24"/>
          <w:szCs w:val="24"/>
          <w:lang w:val="ru-RU" w:eastAsia="zh-CN"/>
        </w:rPr>
      </w:pPr>
    </w:p>
    <w:p>
      <w:pPr>
        <w:pStyle w:val="9"/>
        <w:ind w:firstLine="0" w:firstLineChars="0"/>
        <w:rPr>
          <w:rFonts w:ascii="Times New Roman" w:hAnsi="Times New Roman" w:eastAsia="黑体" w:cs="Times New Roman"/>
          <w:sz w:val="32"/>
          <w:szCs w:val="32"/>
          <w:lang w:val="ru-RU" w:eastAsia="zh-CN"/>
        </w:rPr>
      </w:pPr>
    </w:p>
    <w:p>
      <w:pPr>
        <w:pStyle w:val="9"/>
        <w:spacing w:line="360" w:lineRule="auto"/>
        <w:ind w:firstLine="198" w:firstLineChars="62"/>
        <w:jc w:val="center"/>
        <w:rPr>
          <w:rFonts w:ascii="Times New Roman" w:hAnsi="Times New Roman" w:eastAsia="黑体" w:cs="Times New Roman"/>
          <w:color w:val="000000" w:themeColor="text1"/>
          <w:kern w:val="2"/>
          <w:sz w:val="32"/>
          <w:szCs w:val="32"/>
          <w:lang w:val="ru-RU" w:eastAsia="zh-CN"/>
          <w14:textFill>
            <w14:solidFill>
              <w14:schemeClr w14:val="tx1"/>
            </w14:solidFill>
          </w14:textFill>
        </w:rPr>
      </w:pPr>
      <w:r>
        <w:rPr>
          <w:rFonts w:ascii="Times New Roman" w:hAnsi="Times New Roman" w:eastAsia="黑体" w:cs="Times New Roman"/>
          <w:sz w:val="32"/>
          <w:szCs w:val="32"/>
          <w:lang w:eastAsia="zh-CN"/>
        </w:rPr>
        <w:t>采购人</w:t>
      </w:r>
      <w:r>
        <w:rPr>
          <w:rFonts w:ascii="Times New Roman" w:hAnsi="Times New Roman" w:eastAsia="黑体" w:cs="Times New Roman"/>
          <w:sz w:val="32"/>
          <w:szCs w:val="32"/>
          <w:lang w:val="ru-RU" w:eastAsia="zh-CN"/>
        </w:rPr>
        <w:t>：</w:t>
      </w:r>
      <w:bookmarkStart w:id="0" w:name="OLE_LINK2"/>
      <w:r>
        <w:rPr>
          <w:rFonts w:ascii="Times New Roman" w:hAnsi="Times New Roman" w:eastAsia="黑体" w:cs="Times New Roman"/>
          <w:color w:val="000000" w:themeColor="text1"/>
          <w:kern w:val="2"/>
          <w:sz w:val="32"/>
          <w:szCs w:val="32"/>
          <w:lang w:eastAsia="zh-CN"/>
          <w14:textFill>
            <w14:solidFill>
              <w14:schemeClr w14:val="tx1"/>
            </w14:solidFill>
          </w14:textFill>
        </w:rPr>
        <w:t>阿克套能源有限责任公司</w:t>
      </w:r>
      <w:bookmarkEnd w:id="0"/>
    </w:p>
    <w:p>
      <w:pPr>
        <w:pStyle w:val="10"/>
        <w:ind w:firstLine="0" w:firstLineChars="0"/>
        <w:jc w:val="center"/>
        <w:rPr>
          <w:rFonts w:ascii="Times New Roman" w:hAnsi="Times New Roman"/>
          <w:lang w:val="ru-RU" w:eastAsia="zh-CN"/>
        </w:rPr>
      </w:pPr>
      <w:r>
        <w:rPr>
          <w:rFonts w:ascii="Times New Roman" w:hAnsi="Times New Roman"/>
          <w:lang w:val="ru-RU" w:eastAsia="zh-CN"/>
        </w:rPr>
        <w:t xml:space="preserve">Заказчик: </w:t>
      </w:r>
      <w:r>
        <w:rPr>
          <w:rFonts w:ascii="Times New Roman" w:hAnsi="Times New Roman"/>
          <w:b/>
          <w:bCs/>
          <w:lang w:val="ru-RU"/>
        </w:rPr>
        <w:t>ТОО «Актауская энергетическая компания»</w:t>
      </w:r>
    </w:p>
    <w:p>
      <w:pPr>
        <w:pStyle w:val="9"/>
        <w:ind w:firstLine="0" w:firstLineChars="0"/>
        <w:rPr>
          <w:rFonts w:ascii="Times New Roman" w:hAnsi="Times New Roman" w:cs="Times New Roman"/>
          <w:sz w:val="24"/>
          <w:szCs w:val="24"/>
          <w:lang w:val="ru-RU" w:eastAsia="zh-CN"/>
        </w:rPr>
      </w:pPr>
    </w:p>
    <w:p>
      <w:pPr>
        <w:ind w:firstLine="0" w:firstLineChars="0"/>
        <w:jc w:val="center"/>
        <w:rPr>
          <w:rFonts w:ascii="Times New Roman" w:hAnsi="Times New Roman" w:eastAsia="黑体" w:cs="Times New Roman"/>
          <w:sz w:val="32"/>
          <w:szCs w:val="32"/>
          <w:u w:val="single"/>
          <w:lang w:val="ru-RU" w:eastAsia="zh-CN"/>
        </w:rPr>
      </w:pPr>
    </w:p>
    <w:p>
      <w:pPr>
        <w:ind w:firstLine="0" w:firstLineChars="0"/>
        <w:jc w:val="center"/>
        <w:rPr>
          <w:rFonts w:ascii="Times New Roman" w:hAnsi="Times New Roman" w:eastAsia="黑体" w:cs="Times New Roman"/>
          <w:sz w:val="32"/>
          <w:szCs w:val="32"/>
          <w:u w:val="single"/>
          <w:lang w:eastAsia="zh-CN"/>
        </w:rPr>
      </w:pPr>
      <w:r>
        <w:rPr>
          <w:rFonts w:ascii="Times New Roman" w:hAnsi="Times New Roman" w:eastAsia="黑体" w:cs="Times New Roman"/>
          <w:sz w:val="32"/>
          <w:szCs w:val="32"/>
          <w:u w:val="single"/>
          <w:lang w:eastAsia="zh-CN"/>
        </w:rPr>
        <w:t xml:space="preserve">2025 </w:t>
      </w:r>
      <w:r>
        <w:rPr>
          <w:rFonts w:ascii="Times New Roman" w:hAnsi="Times New Roman" w:eastAsia="黑体" w:cs="Times New Roman"/>
          <w:sz w:val="32"/>
          <w:szCs w:val="32"/>
          <w:lang w:eastAsia="zh-CN"/>
        </w:rPr>
        <w:t>年</w:t>
      </w:r>
      <w:r>
        <w:rPr>
          <w:rFonts w:ascii="Times New Roman" w:hAnsi="Times New Roman" w:eastAsia="黑体" w:cs="Times New Roman"/>
          <w:sz w:val="32"/>
          <w:szCs w:val="32"/>
          <w:u w:val="single"/>
          <w:lang w:eastAsia="zh-CN"/>
        </w:rPr>
        <w:t xml:space="preserve"> </w:t>
      </w:r>
      <w:r>
        <w:rPr>
          <w:rFonts w:ascii="Times New Roman" w:hAnsi="Times New Roman" w:eastAsia="黑体" w:cs="Times New Roman"/>
          <w:sz w:val="32"/>
          <w:szCs w:val="32"/>
          <w:u w:val="single"/>
          <w:lang w:val="ru-RU" w:eastAsia="zh-CN"/>
        </w:rPr>
        <w:t>8</w:t>
      </w:r>
      <w:r>
        <w:rPr>
          <w:rFonts w:ascii="Times New Roman" w:hAnsi="Times New Roman" w:eastAsia="黑体" w:cs="Times New Roman"/>
          <w:sz w:val="32"/>
          <w:szCs w:val="32"/>
          <w:lang w:eastAsia="zh-CN"/>
        </w:rPr>
        <w:t>月</w:t>
      </w:r>
    </w:p>
    <w:p>
      <w:pPr>
        <w:ind w:firstLine="0" w:firstLineChars="0"/>
        <w:jc w:val="center"/>
        <w:rPr>
          <w:rFonts w:ascii="Times New Roman" w:hAnsi="Times New Roman" w:cs="Times New Roman"/>
        </w:rPr>
      </w:pPr>
      <w:r>
        <w:rPr>
          <w:rFonts w:ascii="Times New Roman" w:hAnsi="Times New Roman" w:cs="Times New Roman"/>
          <w:lang w:val="ru-RU"/>
        </w:rPr>
        <w:t>Август</w:t>
      </w:r>
      <w:r>
        <w:rPr>
          <w:rFonts w:ascii="Times New Roman" w:hAnsi="Times New Roman" w:cs="Times New Roman"/>
        </w:rPr>
        <w:t xml:space="preserve"> 2025 г.</w:t>
      </w:r>
    </w:p>
    <w:p>
      <w:pPr>
        <w:pStyle w:val="2"/>
        <w:ind w:left="480"/>
        <w:rPr>
          <w:rFonts w:ascii="Times New Roman" w:hAnsi="Times New Roman"/>
        </w:rPr>
      </w:pPr>
    </w:p>
    <w:p>
      <w:pPr>
        <w:spacing w:line="360" w:lineRule="exact"/>
        <w:ind w:firstLine="560"/>
        <w:jc w:val="center"/>
        <w:rPr>
          <w:rFonts w:ascii="Times New Roman" w:hAnsi="Times New Roman" w:cs="Times New Roman"/>
          <w:b/>
          <w:bCs/>
          <w:sz w:val="28"/>
          <w:szCs w:val="28"/>
          <w:lang w:eastAsia="zh-CN"/>
        </w:rPr>
      </w:pPr>
      <w:r>
        <w:rPr>
          <w:rFonts w:ascii="Times New Roman" w:hAnsi="Times New Roman" w:eastAsia="黑体" w:cs="Times New Roman"/>
          <w:sz w:val="28"/>
          <w:szCs w:val="28"/>
          <w:lang w:eastAsia="zh-CN"/>
        </w:rPr>
        <w:br w:type="page"/>
      </w:r>
      <w:r>
        <w:rPr>
          <w:rFonts w:ascii="Times New Roman" w:hAnsi="Times New Roman" w:cs="Times New Roman"/>
          <w:b/>
          <w:bCs/>
          <w:sz w:val="28"/>
          <w:szCs w:val="28"/>
          <w:lang w:eastAsia="zh-CN"/>
        </w:rPr>
        <w:t>目录</w:t>
      </w:r>
    </w:p>
    <w:p>
      <w:pPr>
        <w:pStyle w:val="2"/>
        <w:ind w:left="0" w:leftChars="0" w:firstLine="0" w:firstLineChars="0"/>
        <w:jc w:val="center"/>
        <w:rPr>
          <w:rFonts w:ascii="Times New Roman" w:hAnsi="Times New Roman"/>
          <w:lang w:eastAsia="zh-CN"/>
        </w:rPr>
      </w:pPr>
      <w:r>
        <w:rPr>
          <w:rFonts w:ascii="Times New Roman" w:hAnsi="Times New Roman"/>
          <w:lang w:val="en-US" w:eastAsia="zh-CN"/>
        </w:rPr>
        <w:t xml:space="preserve">       </w:t>
      </w:r>
      <w:r>
        <w:rPr>
          <w:rFonts w:ascii="Times New Roman" w:hAnsi="Times New Roman"/>
          <w:b/>
          <w:bCs/>
          <w:sz w:val="24"/>
          <w:szCs w:val="28"/>
          <w:lang w:eastAsia="zh-CN"/>
        </w:rPr>
        <w:t>Содержание</w:t>
      </w:r>
    </w:p>
    <w:p>
      <w:pPr>
        <w:pStyle w:val="18"/>
        <w:tabs>
          <w:tab w:val="right" w:leader="dot" w:pos="9027"/>
        </w:tabs>
        <w:spacing w:before="240" w:beforeLines="100" w:after="240" w:afterLines="100"/>
        <w:ind w:firstLine="562"/>
        <w:rPr>
          <w:rFonts w:ascii="Times New Roman" w:hAnsi="Times New Roman" w:cs="Times New Roman"/>
        </w:rPr>
      </w:pPr>
      <w:r>
        <w:rPr>
          <w:rFonts w:ascii="Times New Roman" w:hAnsi="Times New Roman" w:eastAsia="黑体" w:cs="Times New Roman"/>
          <w:sz w:val="28"/>
          <w:szCs w:val="28"/>
          <w:lang w:eastAsia="zh-CN"/>
        </w:rPr>
        <w:fldChar w:fldCharType="begin"/>
      </w:r>
      <w:r>
        <w:rPr>
          <w:rFonts w:ascii="Times New Roman" w:hAnsi="Times New Roman" w:eastAsia="黑体" w:cs="Times New Roman"/>
          <w:sz w:val="28"/>
          <w:szCs w:val="28"/>
          <w:lang w:eastAsia="zh-CN"/>
        </w:rPr>
        <w:instrText xml:space="preserve">TOC \o "1-3" \h \u </w:instrText>
      </w:r>
      <w:r>
        <w:rPr>
          <w:rFonts w:ascii="Times New Roman" w:hAnsi="Times New Roman" w:eastAsia="黑体" w:cs="Times New Roman"/>
          <w:sz w:val="28"/>
          <w:szCs w:val="28"/>
          <w:lang w:eastAsia="zh-CN"/>
        </w:rPr>
        <w:fldChar w:fldCharType="separate"/>
      </w:r>
    </w:p>
    <w:p>
      <w:pPr>
        <w:pStyle w:val="18"/>
        <w:tabs>
          <w:tab w:val="right" w:leader="dot" w:pos="9027"/>
        </w:tabs>
        <w:spacing w:before="240" w:beforeLines="100" w:after="240" w:afterLines="100"/>
        <w:ind w:firstLine="402"/>
        <w:rPr>
          <w:rFonts w:ascii="Times New Roman" w:hAnsi="Times New Roman" w:cs="Times New Roman"/>
        </w:rPr>
      </w:pPr>
      <w:r>
        <w:fldChar w:fldCharType="begin"/>
      </w:r>
      <w:r>
        <w:instrText xml:space="preserve"> HYPERLINK \l "_Toc18249" </w:instrText>
      </w:r>
      <w:r>
        <w:fldChar w:fldCharType="separate"/>
      </w:r>
      <w:r>
        <w:rPr>
          <w:rFonts w:ascii="Times New Roman" w:hAnsi="Times New Roman" w:cs="Times New Roman"/>
          <w:kern w:val="44"/>
          <w:szCs w:val="36"/>
          <w:lang w:eastAsia="zh-CN"/>
        </w:rPr>
        <w:t>第一章 邀请采购函Глава 1. Приглашение к участию в закупке</w:t>
      </w:r>
      <w:r>
        <w:rPr>
          <w:rFonts w:ascii="Times New Roman" w:hAnsi="Times New Roman" w:cs="Times New Roman"/>
        </w:rPr>
        <w:tab/>
      </w:r>
      <w:r>
        <w:rPr>
          <w:rFonts w:hint="eastAsia" w:ascii="Times New Roman" w:hAnsi="Times New Roman" w:cs="Times New Roman"/>
          <w:lang w:eastAsia="zh-CN"/>
        </w:rPr>
        <w:t>1</w:t>
      </w:r>
      <w:r>
        <w:rPr>
          <w:rFonts w:hint="eastAsia" w:ascii="Times New Roman" w:hAnsi="Times New Roman" w:cs="Times New Roman"/>
          <w:lang w:eastAsia="zh-CN"/>
        </w:rPr>
        <w:fldChar w:fldCharType="end"/>
      </w:r>
    </w:p>
    <w:p>
      <w:pPr>
        <w:pStyle w:val="18"/>
        <w:tabs>
          <w:tab w:val="left" w:pos="1440"/>
          <w:tab w:val="right" w:leader="dot" w:pos="9027"/>
        </w:tabs>
        <w:spacing w:before="240" w:beforeLines="100" w:after="240" w:afterLines="100"/>
        <w:ind w:firstLine="402"/>
        <w:rPr>
          <w:rFonts w:ascii="Times New Roman" w:hAnsi="Times New Roman" w:cs="Times New Roman"/>
        </w:rPr>
      </w:pPr>
      <w:r>
        <w:fldChar w:fldCharType="begin"/>
      </w:r>
      <w:r>
        <w:instrText xml:space="preserve"> HYPERLINK \l "_Toc10688" </w:instrText>
      </w:r>
      <w:r>
        <w:fldChar w:fldCharType="separate"/>
      </w:r>
      <w:r>
        <w:rPr>
          <w:rFonts w:ascii="Times New Roman" w:hAnsi="Times New Roman" w:cs="Times New Roman"/>
          <w:lang w:eastAsia="zh-CN"/>
        </w:rPr>
        <w:t>第二章 供应商须知Глава 2. Инструкция для поставщиков</w:t>
      </w:r>
      <w:r>
        <w:rPr>
          <w:rFonts w:ascii="Times New Roman" w:hAnsi="Times New Roman" w:cs="Times New Roman"/>
        </w:rPr>
        <w:tab/>
      </w:r>
      <w:r>
        <w:rPr>
          <w:rFonts w:hint="eastAsia" w:ascii="Times New Roman" w:hAnsi="Times New Roman" w:cs="Times New Roman"/>
          <w:lang w:eastAsia="zh-CN"/>
        </w:rPr>
        <w:t>2</w:t>
      </w:r>
      <w:r>
        <w:rPr>
          <w:rFonts w:hint="eastAsia" w:ascii="Times New Roman" w:hAnsi="Times New Roman" w:cs="Times New Roman"/>
          <w:lang w:eastAsia="zh-CN"/>
        </w:rPr>
        <w:fldChar w:fldCharType="end"/>
      </w:r>
    </w:p>
    <w:p>
      <w:pPr>
        <w:pStyle w:val="18"/>
        <w:tabs>
          <w:tab w:val="right" w:leader="dot" w:pos="9027"/>
        </w:tabs>
        <w:spacing w:before="240" w:beforeLines="100" w:after="240" w:afterLines="100"/>
        <w:ind w:firstLine="402"/>
        <w:rPr>
          <w:rFonts w:ascii="Times New Roman" w:hAnsi="Times New Roman" w:cs="Times New Roman"/>
        </w:rPr>
      </w:pPr>
      <w:r>
        <w:fldChar w:fldCharType="begin"/>
      </w:r>
      <w:r>
        <w:instrText xml:space="preserve"> HYPERLINK \l "_Toc10770" </w:instrText>
      </w:r>
      <w:r>
        <w:fldChar w:fldCharType="separate"/>
      </w:r>
      <w:r>
        <w:rPr>
          <w:rFonts w:ascii="Times New Roman" w:hAnsi="Times New Roman" w:cs="Times New Roman"/>
          <w:lang w:eastAsia="zh-CN"/>
        </w:rPr>
        <w:t>第三章 评审办法Глава 3. Методика оценки</w:t>
      </w:r>
      <w:r>
        <w:rPr>
          <w:rFonts w:ascii="Times New Roman" w:hAnsi="Times New Roman" w:cs="Times New Roman"/>
        </w:rPr>
        <w:tab/>
      </w:r>
      <w:r>
        <w:rPr>
          <w:rFonts w:hint="eastAsia" w:ascii="Times New Roman" w:hAnsi="Times New Roman" w:cs="Times New Roman"/>
          <w:lang w:eastAsia="zh-CN"/>
        </w:rPr>
        <w:t>5</w:t>
      </w:r>
      <w:r>
        <w:rPr>
          <w:rFonts w:hint="eastAsia" w:ascii="Times New Roman" w:hAnsi="Times New Roman" w:cs="Times New Roman"/>
          <w:lang w:eastAsia="zh-CN"/>
        </w:rPr>
        <w:fldChar w:fldCharType="end"/>
      </w:r>
    </w:p>
    <w:p>
      <w:pPr>
        <w:pStyle w:val="18"/>
        <w:tabs>
          <w:tab w:val="right" w:leader="dot" w:pos="9027"/>
        </w:tabs>
        <w:spacing w:before="240" w:beforeLines="100" w:after="240" w:afterLines="100"/>
        <w:ind w:firstLine="402"/>
        <w:rPr>
          <w:rFonts w:ascii="Times New Roman" w:hAnsi="Times New Roman" w:cs="Times New Roman"/>
          <w:lang w:eastAsia="zh-CN"/>
        </w:rPr>
      </w:pPr>
      <w:r>
        <w:fldChar w:fldCharType="begin"/>
      </w:r>
      <w:r>
        <w:instrText xml:space="preserve"> HYPERLINK \l "_Toc8296" </w:instrText>
      </w:r>
      <w:r>
        <w:fldChar w:fldCharType="separate"/>
      </w:r>
      <w:r>
        <w:rPr>
          <w:rFonts w:ascii="Times New Roman" w:hAnsi="Times New Roman" w:cs="Times New Roman"/>
          <w:kern w:val="44"/>
          <w:szCs w:val="36"/>
          <w:lang w:eastAsia="zh-CN"/>
        </w:rPr>
        <w:t>第四章 合同条款及格式Глава 4. Условия и формы контракта</w:t>
      </w:r>
      <w:r>
        <w:rPr>
          <w:rFonts w:ascii="Times New Roman" w:hAnsi="Times New Roman" w:cs="Times New Roman"/>
        </w:rPr>
        <w:tab/>
      </w:r>
      <w:r>
        <w:rPr>
          <w:rFonts w:hint="eastAsia" w:ascii="Times New Roman" w:hAnsi="Times New Roman" w:cs="Times New Roman"/>
          <w:lang w:eastAsia="zh-CN"/>
        </w:rPr>
        <w:t>1</w:t>
      </w:r>
      <w:r>
        <w:rPr>
          <w:rFonts w:hint="eastAsia" w:ascii="Times New Roman" w:hAnsi="Times New Roman" w:cs="Times New Roman"/>
          <w:lang w:eastAsia="zh-CN"/>
        </w:rPr>
        <w:fldChar w:fldCharType="end"/>
      </w:r>
      <w:r>
        <w:rPr>
          <w:rFonts w:hint="eastAsia" w:ascii="Times New Roman" w:hAnsi="Times New Roman" w:cs="Times New Roman"/>
          <w:lang w:eastAsia="zh-CN"/>
        </w:rPr>
        <w:t>3</w:t>
      </w:r>
    </w:p>
    <w:p>
      <w:pPr>
        <w:pStyle w:val="18"/>
        <w:tabs>
          <w:tab w:val="right" w:leader="dot" w:pos="9027"/>
        </w:tabs>
        <w:spacing w:before="240" w:beforeLines="100" w:after="240" w:afterLines="100"/>
        <w:ind w:firstLine="402"/>
        <w:rPr>
          <w:rFonts w:ascii="Times New Roman" w:hAnsi="Times New Roman" w:cs="Times New Roman"/>
          <w:lang w:eastAsia="zh-CN"/>
        </w:rPr>
      </w:pPr>
      <w:r>
        <w:fldChar w:fldCharType="begin"/>
      </w:r>
      <w:r>
        <w:instrText xml:space="preserve"> HYPERLINK \l "_Toc5325" </w:instrText>
      </w:r>
      <w:r>
        <w:fldChar w:fldCharType="separate"/>
      </w:r>
      <w:r>
        <w:rPr>
          <w:rFonts w:ascii="Times New Roman" w:hAnsi="Times New Roman" w:cs="Times New Roman"/>
          <w:kern w:val="44"/>
          <w:szCs w:val="36"/>
          <w:lang w:eastAsia="zh-CN"/>
        </w:rPr>
        <w:t>第五章 技术规范书Глава 5. Технические спецификации</w:t>
      </w:r>
      <w:r>
        <w:rPr>
          <w:rFonts w:ascii="Times New Roman" w:hAnsi="Times New Roman" w:cs="Times New Roman"/>
        </w:rPr>
        <w:tab/>
      </w:r>
      <w:r>
        <w:rPr>
          <w:rFonts w:hint="eastAsia" w:ascii="Times New Roman" w:hAnsi="Times New Roman" w:cs="Times New Roman"/>
          <w:lang w:eastAsia="zh-CN"/>
        </w:rPr>
        <w:t>1</w:t>
      </w:r>
      <w:r>
        <w:rPr>
          <w:rFonts w:hint="eastAsia" w:ascii="Times New Roman" w:hAnsi="Times New Roman" w:cs="Times New Roman"/>
          <w:lang w:eastAsia="zh-CN"/>
        </w:rPr>
        <w:fldChar w:fldCharType="end"/>
      </w:r>
      <w:r>
        <w:rPr>
          <w:rFonts w:hint="eastAsia" w:ascii="Times New Roman" w:hAnsi="Times New Roman" w:cs="Times New Roman"/>
          <w:lang w:eastAsia="zh-CN"/>
        </w:rPr>
        <w:t>4</w:t>
      </w:r>
    </w:p>
    <w:p>
      <w:pPr>
        <w:pStyle w:val="18"/>
        <w:tabs>
          <w:tab w:val="right" w:leader="dot" w:pos="9027"/>
        </w:tabs>
        <w:spacing w:before="240" w:beforeLines="100" w:after="240" w:afterLines="100"/>
        <w:ind w:firstLine="402"/>
        <w:rPr>
          <w:rFonts w:ascii="Times New Roman" w:hAnsi="Times New Roman" w:cs="Times New Roman"/>
          <w:lang w:eastAsia="zh-CN"/>
        </w:rPr>
      </w:pPr>
      <w:r>
        <w:fldChar w:fldCharType="begin"/>
      </w:r>
      <w:r>
        <w:instrText xml:space="preserve"> HYPERLINK \l "_Toc25058" </w:instrText>
      </w:r>
      <w:r>
        <w:fldChar w:fldCharType="separate"/>
      </w:r>
      <w:r>
        <w:rPr>
          <w:rFonts w:ascii="Times New Roman" w:hAnsi="Times New Roman" w:cs="Times New Roman"/>
          <w:kern w:val="44"/>
          <w:szCs w:val="36"/>
          <w:lang w:eastAsia="zh-CN"/>
        </w:rPr>
        <w:t>第六章 响应文件格式Глава 6. Форматы отклика</w:t>
      </w:r>
      <w:r>
        <w:rPr>
          <w:rFonts w:ascii="Times New Roman" w:hAnsi="Times New Roman" w:cs="Times New Roman"/>
        </w:rPr>
        <w:tab/>
      </w:r>
      <w:r>
        <w:rPr>
          <w:rFonts w:hint="eastAsia" w:ascii="Times New Roman" w:hAnsi="Times New Roman" w:cs="Times New Roman"/>
          <w:lang w:eastAsia="zh-CN"/>
        </w:rPr>
        <w:t>1</w:t>
      </w:r>
      <w:r>
        <w:rPr>
          <w:rFonts w:hint="eastAsia" w:ascii="Times New Roman" w:hAnsi="Times New Roman" w:cs="Times New Roman"/>
          <w:lang w:eastAsia="zh-CN"/>
        </w:rPr>
        <w:fldChar w:fldCharType="end"/>
      </w:r>
      <w:r>
        <w:rPr>
          <w:rFonts w:hint="eastAsia" w:ascii="Times New Roman" w:hAnsi="Times New Roman" w:cs="Times New Roman"/>
          <w:lang w:eastAsia="zh-CN"/>
        </w:rPr>
        <w:t>5</w:t>
      </w:r>
    </w:p>
    <w:p>
      <w:pPr>
        <w:spacing w:before="240" w:beforeLines="100" w:after="240" w:afterLines="100" w:line="360" w:lineRule="exact"/>
        <w:ind w:firstLine="480"/>
        <w:jc w:val="both"/>
        <w:rPr>
          <w:rFonts w:ascii="Times New Roman" w:hAnsi="Times New Roman" w:eastAsia="黑体" w:cs="Times New Roman"/>
          <w:sz w:val="28"/>
          <w:szCs w:val="28"/>
          <w:lang w:eastAsia="zh-CN"/>
        </w:rPr>
        <w:sectPr>
          <w:headerReference r:id="rId5" w:type="first"/>
          <w:footerReference r:id="rId8" w:type="first"/>
          <w:headerReference r:id="rId3" w:type="default"/>
          <w:footerReference r:id="rId6" w:type="default"/>
          <w:headerReference r:id="rId4" w:type="even"/>
          <w:footerReference r:id="rId7" w:type="even"/>
          <w:pgSz w:w="11907" w:h="16839"/>
          <w:pgMar w:top="1797" w:right="1440" w:bottom="1797" w:left="1440" w:header="1021" w:footer="851" w:gutter="0"/>
          <w:pgNumType w:fmt="upperRoman" w:start="1"/>
          <w:cols w:space="720" w:num="1"/>
          <w:docGrid w:linePitch="299" w:charSpace="0"/>
        </w:sectPr>
      </w:pPr>
      <w:r>
        <w:rPr>
          <w:rFonts w:ascii="Times New Roman" w:hAnsi="Times New Roman" w:eastAsia="黑体" w:cs="Times New Roman"/>
          <w:szCs w:val="28"/>
          <w:lang w:eastAsia="zh-CN"/>
        </w:rPr>
        <w:fldChar w:fldCharType="end"/>
      </w:r>
    </w:p>
    <w:p>
      <w:pPr>
        <w:ind w:firstLine="480"/>
        <w:rPr>
          <w:rFonts w:ascii="Times New Roman" w:hAnsi="Times New Roman" w:cs="Times New Roman"/>
          <w:szCs w:val="24"/>
          <w:lang w:eastAsia="zh-CN"/>
        </w:rPr>
      </w:pPr>
      <w:bookmarkStart w:id="1" w:name="_Toc3474762"/>
      <w:bookmarkStart w:id="2" w:name="_Toc1743861"/>
    </w:p>
    <w:bookmarkEnd w:id="1"/>
    <w:bookmarkEnd w:id="2"/>
    <w:p>
      <w:pPr>
        <w:pStyle w:val="4"/>
        <w:numPr>
          <w:ilvl w:val="0"/>
          <w:numId w:val="1"/>
        </w:numPr>
        <w:spacing w:before="120" w:beforeLines="50" w:line="360" w:lineRule="auto"/>
        <w:ind w:left="0"/>
        <w:rPr>
          <w:rFonts w:ascii="Times New Roman" w:hAnsi="Times New Roman" w:cs="Times New Roman"/>
          <w:kern w:val="44"/>
          <w:szCs w:val="36"/>
          <w:lang w:eastAsia="zh-CN"/>
        </w:rPr>
      </w:pPr>
      <w:bookmarkStart w:id="3" w:name="_Toc20418"/>
      <w:bookmarkStart w:id="4" w:name="_Toc7100"/>
      <w:bookmarkStart w:id="5" w:name="_Toc23808"/>
      <w:bookmarkStart w:id="6" w:name="_Toc3474771"/>
      <w:bookmarkStart w:id="7" w:name="_Toc14246"/>
      <w:bookmarkStart w:id="8" w:name="_Toc4189"/>
      <w:bookmarkStart w:id="9" w:name="_Toc31812"/>
      <w:bookmarkStart w:id="10" w:name="_Toc18249"/>
      <w:bookmarkStart w:id="11" w:name="_Toc523252077"/>
      <w:bookmarkStart w:id="12" w:name="_Toc522694150"/>
      <w:bookmarkStart w:id="13" w:name="_Toc515780374"/>
      <w:bookmarkStart w:id="14" w:name="_Toc3474763"/>
      <w:bookmarkStart w:id="15" w:name="_Toc522693213"/>
      <w:bookmarkStart w:id="16" w:name="_Toc522694158"/>
      <w:bookmarkStart w:id="17" w:name="_Toc523264294"/>
      <w:bookmarkStart w:id="18" w:name="_Toc357419318"/>
      <w:bookmarkStart w:id="19" w:name="_Toc523264508"/>
      <w:bookmarkStart w:id="20" w:name="_Toc1743862"/>
      <w:bookmarkStart w:id="21" w:name="_Toc515780375"/>
      <w:bookmarkStart w:id="22" w:name="_Toc339543528"/>
      <w:bookmarkStart w:id="23" w:name="_Toc354405021"/>
      <w:r>
        <w:rPr>
          <w:rFonts w:hint="eastAsia" w:ascii="Times New Roman" w:hAnsi="Times New Roman" w:cs="Times New Roman"/>
          <w:kern w:val="44"/>
          <w:szCs w:val="36"/>
          <w:lang w:eastAsia="zh-CN"/>
        </w:rPr>
        <w:t xml:space="preserve"> </w:t>
      </w:r>
      <w:r>
        <w:rPr>
          <w:rFonts w:ascii="Times New Roman" w:hAnsi="Times New Roman" w:cs="Times New Roman"/>
          <w:kern w:val="44"/>
          <w:szCs w:val="36"/>
          <w:lang w:eastAsia="zh-CN"/>
        </w:rPr>
        <w:t>邀请采购</w:t>
      </w:r>
      <w:bookmarkEnd w:id="3"/>
      <w:bookmarkEnd w:id="4"/>
      <w:bookmarkEnd w:id="5"/>
      <w:bookmarkEnd w:id="6"/>
      <w:bookmarkEnd w:id="7"/>
      <w:bookmarkEnd w:id="8"/>
      <w:bookmarkEnd w:id="9"/>
      <w:r>
        <w:rPr>
          <w:rFonts w:ascii="Times New Roman" w:hAnsi="Times New Roman" w:cs="Times New Roman"/>
          <w:kern w:val="44"/>
          <w:szCs w:val="36"/>
          <w:lang w:eastAsia="zh-CN"/>
        </w:rPr>
        <w:t>函</w:t>
      </w:r>
      <w:bookmarkEnd w:id="10"/>
      <w:r>
        <w:rPr>
          <w:rFonts w:ascii="Times New Roman" w:hAnsi="Times New Roman" w:cs="Times New Roman"/>
          <w:kern w:val="44"/>
          <w:szCs w:val="36"/>
          <w:lang w:eastAsia="zh-CN"/>
        </w:rPr>
        <w:t xml:space="preserve"> </w:t>
      </w:r>
    </w:p>
    <w:p>
      <w:pPr>
        <w:pStyle w:val="2"/>
        <w:ind w:left="0" w:leftChars="0" w:firstLine="0" w:firstLineChars="0"/>
        <w:jc w:val="center"/>
        <w:rPr>
          <w:rFonts w:ascii="Times New Roman" w:hAnsi="Times New Roman"/>
          <w:lang w:val="ru-RU" w:eastAsia="zh-CN"/>
        </w:rPr>
      </w:pPr>
      <w:bookmarkStart w:id="24" w:name="_Toc1743868"/>
      <w:r>
        <w:rPr>
          <w:rFonts w:hint="eastAsia" w:ascii="Times New Roman" w:hAnsi="Times New Roman"/>
          <w:lang w:val="en-US" w:eastAsia="zh-CN"/>
        </w:rPr>
        <w:t>见附件</w:t>
      </w:r>
      <w:r>
        <w:rPr>
          <w:rFonts w:ascii="Times New Roman" w:hAnsi="Times New Roman"/>
          <w:lang w:val="ru-RU" w:eastAsia="zh-CN"/>
        </w:rPr>
        <w:t>1</w:t>
      </w:r>
    </w:p>
    <w:bookmarkEnd w:id="24"/>
    <w:p>
      <w:pPr>
        <w:pStyle w:val="9"/>
        <w:ind w:firstLine="420"/>
        <w:jc w:val="right"/>
        <w:rPr>
          <w:rFonts w:ascii="Times New Roman" w:hAnsi="Times New Roman" w:cs="Times New Roman"/>
          <w:szCs w:val="24"/>
          <w:lang w:eastAsia="zh-CN"/>
        </w:rPr>
      </w:pPr>
    </w:p>
    <w:p>
      <w:pPr>
        <w:ind w:firstLine="480"/>
        <w:rPr>
          <w:rFonts w:ascii="Times New Roman" w:hAnsi="Times New Roman" w:cs="Times New Roman"/>
          <w:szCs w:val="24"/>
          <w:lang w:eastAsia="zh-CN"/>
        </w:rPr>
        <w:sectPr>
          <w:headerReference r:id="rId9" w:type="default"/>
          <w:footerReference r:id="rId10" w:type="default"/>
          <w:pgSz w:w="11907" w:h="16839"/>
          <w:pgMar w:top="1797" w:right="1440" w:bottom="1797" w:left="1440" w:header="1021" w:footer="851" w:gutter="0"/>
          <w:pgNumType w:start="1"/>
          <w:cols w:space="720" w:num="1"/>
          <w:docGrid w:linePitch="299" w:charSpace="0"/>
        </w:sectPr>
      </w:pPr>
    </w:p>
    <w:bookmarkEnd w:id="11"/>
    <w:bookmarkEnd w:id="12"/>
    <w:bookmarkEnd w:id="13"/>
    <w:bookmarkEnd w:id="14"/>
    <w:p>
      <w:pPr>
        <w:ind w:firstLine="600" w:firstLineChars="250"/>
        <w:jc w:val="right"/>
        <w:rPr>
          <w:rFonts w:ascii="Times New Roman" w:hAnsi="Times New Roman" w:cs="Times New Roman"/>
          <w:bCs/>
          <w:szCs w:val="24"/>
          <w:lang w:eastAsia="zh-CN"/>
        </w:rPr>
      </w:pPr>
    </w:p>
    <w:bookmarkEnd w:id="15"/>
    <w:bookmarkEnd w:id="16"/>
    <w:bookmarkEnd w:id="17"/>
    <w:bookmarkEnd w:id="18"/>
    <w:bookmarkEnd w:id="19"/>
    <w:bookmarkEnd w:id="20"/>
    <w:bookmarkEnd w:id="21"/>
    <w:bookmarkEnd w:id="22"/>
    <w:bookmarkEnd w:id="23"/>
    <w:p>
      <w:pPr>
        <w:pStyle w:val="4"/>
        <w:numPr>
          <w:ilvl w:val="0"/>
          <w:numId w:val="1"/>
        </w:numPr>
        <w:ind w:left="0"/>
        <w:rPr>
          <w:rFonts w:ascii="Times New Roman" w:hAnsi="Times New Roman" w:cs="Times New Roman"/>
          <w:lang w:eastAsia="zh-CN"/>
        </w:rPr>
      </w:pPr>
      <w:bookmarkStart w:id="25" w:name="_Toc5100"/>
      <w:bookmarkStart w:id="26" w:name="_Toc29724"/>
      <w:bookmarkStart w:id="27" w:name="_Toc10688"/>
      <w:bookmarkStart w:id="28" w:name="_Toc10531"/>
      <w:bookmarkStart w:id="29" w:name="_Toc10018"/>
      <w:bookmarkStart w:id="30" w:name="_Toc3474791"/>
      <w:bookmarkStart w:id="31" w:name="_Toc24557"/>
      <w:bookmarkStart w:id="32" w:name="_Toc10069"/>
      <w:bookmarkStart w:id="33" w:name="_Toc1743879"/>
      <w:r>
        <w:rPr>
          <w:rFonts w:hint="eastAsia" w:ascii="Times New Roman" w:hAnsi="Times New Roman" w:cs="Times New Roman"/>
          <w:lang w:eastAsia="zh-CN"/>
        </w:rPr>
        <w:t xml:space="preserve"> </w:t>
      </w:r>
      <w:r>
        <w:rPr>
          <w:rFonts w:ascii="Times New Roman" w:hAnsi="Times New Roman" w:cs="Times New Roman"/>
          <w:lang w:eastAsia="zh-CN"/>
        </w:rPr>
        <w:t>供应商须知</w:t>
      </w:r>
      <w:bookmarkEnd w:id="25"/>
      <w:bookmarkEnd w:id="26"/>
      <w:bookmarkEnd w:id="27"/>
      <w:bookmarkEnd w:id="28"/>
      <w:bookmarkEnd w:id="29"/>
      <w:bookmarkEnd w:id="30"/>
      <w:bookmarkEnd w:id="31"/>
      <w:bookmarkEnd w:id="32"/>
      <w:bookmarkEnd w:id="33"/>
    </w:p>
    <w:p>
      <w:pPr>
        <w:ind w:firstLine="0" w:firstLineChars="0"/>
        <w:jc w:val="center"/>
        <w:rPr>
          <w:rFonts w:ascii="Times New Roman" w:hAnsi="Times New Roman" w:cs="Times New Roman"/>
          <w:b/>
          <w:bCs/>
          <w:sz w:val="36"/>
          <w:szCs w:val="36"/>
          <w:lang w:eastAsia="zh-CN"/>
        </w:rPr>
      </w:pPr>
      <w:r>
        <w:rPr>
          <w:rFonts w:ascii="Times New Roman" w:hAnsi="Times New Roman" w:cs="Times New Roman"/>
          <w:b/>
          <w:bCs/>
          <w:sz w:val="36"/>
          <w:szCs w:val="36"/>
          <w:lang w:eastAsia="zh-CN"/>
        </w:rPr>
        <w:t>Глава 2. Инструкция для поставщиков</w:t>
      </w:r>
    </w:p>
    <w:tbl>
      <w:tblPr>
        <w:tblStyle w:val="23"/>
        <w:tblW w:w="924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21"/>
        <w:gridCol w:w="46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621" w:type="dxa"/>
          </w:tcPr>
          <w:p>
            <w:pPr>
              <w:pStyle w:val="6"/>
              <w:spacing w:before="0" w:beforeLines="0" w:line="240" w:lineRule="auto"/>
              <w:jc w:val="both"/>
              <w:rPr>
                <w:rFonts w:ascii="楷体" w:hAnsi="楷体" w:eastAsia="楷体"/>
                <w:b w:val="0"/>
                <w:bCs/>
                <w:highlight w:val="yellow"/>
              </w:rPr>
            </w:pPr>
            <w:bookmarkStart w:id="34" w:name="_Toc523252108"/>
            <w:bookmarkStart w:id="35" w:name="_Toc152042306"/>
            <w:bookmarkStart w:id="36" w:name="_Toc535"/>
            <w:bookmarkStart w:id="37" w:name="_Toc144974498"/>
            <w:bookmarkStart w:id="38" w:name="_Toc152045530"/>
            <w:bookmarkStart w:id="39" w:name="_Toc339543547"/>
            <w:bookmarkStart w:id="40" w:name="_Toc357419339"/>
            <w:bookmarkStart w:id="41" w:name="_Toc354405041"/>
            <w:r>
              <w:rPr>
                <w:rFonts w:hint="eastAsia" w:ascii="楷体" w:hAnsi="楷体" w:eastAsia="楷体"/>
                <w:b w:val="0"/>
                <w:bCs/>
              </w:rPr>
              <w:t>1.1 项目概况：详见邀请函。</w:t>
            </w:r>
          </w:p>
        </w:tc>
        <w:tc>
          <w:tcPr>
            <w:tcW w:w="4622" w:type="dxa"/>
          </w:tcPr>
          <w:p>
            <w:pPr>
              <w:pStyle w:val="6"/>
              <w:spacing w:before="0" w:beforeLines="0" w:line="288" w:lineRule="auto"/>
              <w:jc w:val="both"/>
              <w:rPr>
                <w:rFonts w:ascii="Times New Roman" w:hAnsi="Times New Roman" w:cs="Times New Roman"/>
                <w:sz w:val="21"/>
                <w:szCs w:val="21"/>
                <w:highlight w:val="yellow"/>
              </w:rPr>
            </w:pPr>
            <w:r>
              <w:rPr>
                <w:rFonts w:ascii="Times New Roman" w:hAnsi="Times New Roman" w:cs="Times New Roman"/>
                <w:sz w:val="22"/>
              </w:rPr>
              <w:t>1.1 Общая информация о проекте: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621" w:type="dxa"/>
          </w:tcPr>
          <w:p>
            <w:pPr>
              <w:pStyle w:val="6"/>
              <w:spacing w:before="0" w:beforeLines="0" w:line="240" w:lineRule="auto"/>
              <w:jc w:val="both"/>
              <w:rPr>
                <w:rFonts w:ascii="楷体" w:hAnsi="楷体" w:eastAsia="楷体"/>
                <w:b w:val="0"/>
                <w:bCs/>
              </w:rPr>
            </w:pPr>
            <w:r>
              <w:rPr>
                <w:rFonts w:hint="eastAsia" w:ascii="楷体" w:hAnsi="楷体" w:eastAsia="楷体"/>
                <w:b w:val="0"/>
                <w:bCs/>
              </w:rPr>
              <w:t>1.2 采购人：阿克套能源有限责任公司</w:t>
            </w:r>
          </w:p>
        </w:tc>
        <w:tc>
          <w:tcPr>
            <w:tcW w:w="4622" w:type="dxa"/>
          </w:tcPr>
          <w:p>
            <w:pPr>
              <w:pStyle w:val="6"/>
              <w:spacing w:before="0" w:beforeLines="0" w:line="288" w:lineRule="auto"/>
              <w:jc w:val="both"/>
              <w:rPr>
                <w:rFonts w:ascii="Times New Roman" w:hAnsi="Times New Roman" w:cs="Times New Roman"/>
                <w:sz w:val="22"/>
                <w:szCs w:val="21"/>
                <w:lang w:val="ru-RU"/>
              </w:rPr>
            </w:pPr>
            <w:r>
              <w:rPr>
                <w:rFonts w:ascii="Times New Roman" w:hAnsi="Times New Roman" w:cs="Times New Roman"/>
                <w:sz w:val="22"/>
                <w:szCs w:val="21"/>
                <w:lang w:val="ru-RU"/>
              </w:rPr>
              <w:t>1.2 Заказчик: ТОО «Актауская энергетическая компания».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621" w:type="dxa"/>
          </w:tcPr>
          <w:p>
            <w:pPr>
              <w:ind w:firstLine="0" w:firstLineChars="0"/>
              <w:jc w:val="both"/>
              <w:rPr>
                <w:rFonts w:ascii="楷体" w:hAnsi="楷体" w:eastAsia="楷体"/>
                <w:bCs/>
                <w:highlight w:val="yellow"/>
                <w:lang w:eastAsia="zh-CN"/>
              </w:rPr>
            </w:pPr>
            <w:r>
              <w:rPr>
                <w:rFonts w:hint="eastAsia" w:ascii="楷体" w:hAnsi="楷体" w:eastAsia="楷体"/>
                <w:bCs/>
                <w:lang w:eastAsia="zh-CN"/>
              </w:rPr>
              <w:t>1.3 采购项目：哈萨克斯坦阿克套160MW燃机项目厂前6kV架空线施工</w:t>
            </w:r>
          </w:p>
        </w:tc>
        <w:tc>
          <w:tcPr>
            <w:tcW w:w="4622" w:type="dxa"/>
          </w:tcPr>
          <w:p>
            <w:pPr>
              <w:spacing w:line="288" w:lineRule="auto"/>
              <w:ind w:firstLine="0" w:firstLineChars="0"/>
              <w:jc w:val="both"/>
              <w:rPr>
                <w:rFonts w:ascii="Times New Roman" w:hAnsi="Times New Roman" w:cs="Times New Roman"/>
                <w:sz w:val="21"/>
                <w:szCs w:val="21"/>
                <w:highlight w:val="yellow"/>
              </w:rPr>
            </w:pPr>
            <w:r>
              <w:rPr>
                <w:rStyle w:val="26"/>
                <w:rFonts w:ascii="Times New Roman" w:hAnsi="Times New Roman" w:cs="Times New Roman"/>
                <w:sz w:val="22"/>
                <w:lang w:val="ru-RU"/>
              </w:rPr>
              <w:t>1.3 Закупочный проект:</w:t>
            </w:r>
            <w:r>
              <w:rPr>
                <w:rFonts w:ascii="Times New Roman" w:hAnsi="Times New Roman" w:cs="Times New Roman"/>
                <w:sz w:val="22"/>
                <w:lang w:val="ru-RU"/>
              </w:rPr>
              <w:br w:type="textWrapping"/>
            </w:r>
            <w:r>
              <w:rPr>
                <w:rFonts w:ascii="Times New Roman" w:hAnsi="Times New Roman" w:cs="Times New Roman"/>
                <w:sz w:val="22"/>
                <w:lang w:val="ru-RU"/>
              </w:rPr>
              <w:t xml:space="preserve">Строительство воздушной линии 6 кВ перед заводом в рамках проекта газотурбинной электростанции мощностью </w:t>
            </w:r>
            <w:r>
              <w:rPr>
                <w:rFonts w:ascii="Times New Roman" w:hAnsi="Times New Roman" w:cs="Times New Roman"/>
                <w:sz w:val="22"/>
              </w:rPr>
              <w:t>160 МВт в Актау, Казахстан.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621" w:type="dxa"/>
          </w:tcPr>
          <w:p>
            <w:pPr>
              <w:pStyle w:val="6"/>
              <w:spacing w:before="0" w:beforeLines="0" w:line="240" w:lineRule="auto"/>
              <w:jc w:val="both"/>
              <w:rPr>
                <w:rFonts w:ascii="楷体" w:hAnsi="楷体" w:eastAsia="楷体"/>
                <w:b w:val="0"/>
                <w:bCs/>
                <w:highlight w:val="yellow"/>
              </w:rPr>
            </w:pPr>
            <w:r>
              <w:rPr>
                <w:rFonts w:hint="eastAsia" w:ascii="楷体" w:hAnsi="楷体" w:eastAsia="楷体"/>
                <w:b w:val="0"/>
                <w:bCs/>
              </w:rPr>
              <w:t>1.4 采购范围、工程内容及履约期限：详见邀请函。</w:t>
            </w:r>
          </w:p>
        </w:tc>
        <w:tc>
          <w:tcPr>
            <w:tcW w:w="4622" w:type="dxa"/>
          </w:tcPr>
          <w:p>
            <w:pPr>
              <w:pStyle w:val="16"/>
              <w:spacing w:line="288" w:lineRule="auto"/>
              <w:ind w:firstLine="0" w:firstLineChars="0"/>
              <w:rPr>
                <w:sz w:val="21"/>
                <w:szCs w:val="21"/>
                <w:highlight w:val="yellow"/>
                <w:lang w:val="ru-RU"/>
              </w:rPr>
            </w:pPr>
            <w:r>
              <w:rPr>
                <w:rStyle w:val="26"/>
                <w:sz w:val="22"/>
                <w:lang w:val="ru-RU"/>
              </w:rPr>
              <w:t>1.4 Объем закупки, содержание работ и срок исполнения:</w:t>
            </w:r>
            <w:r>
              <w:rPr>
                <w:sz w:val="22"/>
                <w:lang w:val="ru-RU"/>
              </w:rPr>
              <w:br w:type="textWrapping"/>
            </w:r>
            <w:r>
              <w:rPr>
                <w:sz w:val="22"/>
                <w:lang w:val="ru-RU"/>
              </w:rPr>
              <w:t>См. подробности в приглашении.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621" w:type="dxa"/>
          </w:tcPr>
          <w:p>
            <w:pPr>
              <w:pStyle w:val="6"/>
              <w:spacing w:before="0" w:beforeLines="0" w:line="240" w:lineRule="auto"/>
              <w:jc w:val="both"/>
              <w:rPr>
                <w:rFonts w:ascii="楷体" w:hAnsi="楷体" w:eastAsia="楷体"/>
                <w:b w:val="0"/>
                <w:bCs/>
              </w:rPr>
            </w:pPr>
            <w:r>
              <w:rPr>
                <w:rFonts w:hint="eastAsia" w:ascii="楷体" w:hAnsi="楷体" w:eastAsia="楷体"/>
                <w:b w:val="0"/>
                <w:bCs/>
              </w:rPr>
              <w:t>1.5 供应商资质条件(资格后审)：详见邀请函。</w:t>
            </w:r>
          </w:p>
        </w:tc>
        <w:tc>
          <w:tcPr>
            <w:tcW w:w="4622" w:type="dxa"/>
          </w:tcPr>
          <w:p>
            <w:pPr>
              <w:pStyle w:val="16"/>
              <w:spacing w:line="288" w:lineRule="auto"/>
              <w:ind w:firstLine="0" w:firstLineChars="0"/>
              <w:jc w:val="both"/>
              <w:rPr>
                <w:sz w:val="21"/>
                <w:szCs w:val="21"/>
                <w:lang w:val="ru-RU"/>
              </w:rPr>
            </w:pPr>
            <w:r>
              <w:rPr>
                <w:b/>
                <w:bCs/>
                <w:sz w:val="21"/>
                <w:szCs w:val="21"/>
                <w:lang w:val="ru-RU"/>
              </w:rPr>
              <w:t>1.5 Требования к квалификации поставщиков (квалификационный отбор после подачи заявки):</w:t>
            </w:r>
            <w:r>
              <w:rPr>
                <w:sz w:val="21"/>
                <w:szCs w:val="21"/>
                <w:lang w:val="ru-RU"/>
              </w:rPr>
              <w:t xml:space="preserve"> </w:t>
            </w:r>
            <w:r>
              <w:rPr>
                <w:sz w:val="22"/>
                <w:lang w:val="ru-RU"/>
              </w:rPr>
              <w:t>См. подробности в приглашении.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621" w:type="dxa"/>
          </w:tcPr>
          <w:p>
            <w:pPr>
              <w:pStyle w:val="6"/>
              <w:spacing w:before="0" w:beforeLines="0" w:line="240" w:lineRule="auto"/>
              <w:jc w:val="both"/>
              <w:rPr>
                <w:rFonts w:ascii="楷体" w:hAnsi="楷体" w:eastAsia="楷体"/>
                <w:b w:val="0"/>
                <w:bCs/>
                <w:highlight w:val="yellow"/>
              </w:rPr>
            </w:pPr>
            <w:r>
              <w:rPr>
                <w:rFonts w:hint="eastAsia" w:ascii="楷体" w:hAnsi="楷体" w:eastAsia="楷体"/>
                <w:b w:val="0"/>
                <w:bCs/>
              </w:rPr>
              <w:t>1.6 服务标准和要求：详见技术规范书。</w:t>
            </w:r>
          </w:p>
        </w:tc>
        <w:tc>
          <w:tcPr>
            <w:tcW w:w="4622" w:type="dxa"/>
          </w:tcPr>
          <w:p>
            <w:pPr>
              <w:pStyle w:val="16"/>
              <w:spacing w:line="288" w:lineRule="auto"/>
              <w:ind w:firstLine="0" w:firstLineChars="0"/>
              <w:jc w:val="both"/>
              <w:rPr>
                <w:sz w:val="21"/>
                <w:szCs w:val="21"/>
                <w:highlight w:val="yellow"/>
                <w:lang w:val="ru-RU"/>
              </w:rPr>
            </w:pPr>
            <w:r>
              <w:rPr>
                <w:rStyle w:val="26"/>
                <w:sz w:val="22"/>
                <w:lang w:val="ru-RU"/>
              </w:rPr>
              <w:t>1.6 Стандарты и требования к услугам:</w:t>
            </w:r>
            <w:r>
              <w:rPr>
                <w:sz w:val="22"/>
                <w:lang w:val="ru-RU"/>
              </w:rPr>
              <w:br w:type="textWrapping"/>
            </w:r>
            <w:r>
              <w:rPr>
                <w:sz w:val="22"/>
                <w:lang w:val="ru-RU"/>
              </w:rPr>
              <w:t>См. подробности в технических спецификациях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621" w:type="dxa"/>
          </w:tcPr>
          <w:p>
            <w:pPr>
              <w:pStyle w:val="6"/>
              <w:spacing w:before="0" w:beforeLines="0" w:line="240" w:lineRule="auto"/>
              <w:jc w:val="both"/>
              <w:rPr>
                <w:rFonts w:ascii="楷体" w:hAnsi="楷体" w:eastAsia="楷体"/>
                <w:b w:val="0"/>
                <w:bCs/>
                <w:highlight w:val="yellow"/>
              </w:rPr>
            </w:pPr>
            <w:r>
              <w:rPr>
                <w:rFonts w:hint="eastAsia" w:ascii="楷体" w:hAnsi="楷体" w:eastAsia="楷体"/>
                <w:b w:val="0"/>
                <w:bCs/>
              </w:rPr>
              <w:t>1.7 采购方式：直接采购</w:t>
            </w:r>
          </w:p>
        </w:tc>
        <w:tc>
          <w:tcPr>
            <w:tcW w:w="4622" w:type="dxa"/>
          </w:tcPr>
          <w:p>
            <w:pPr>
              <w:spacing w:line="288" w:lineRule="auto"/>
              <w:ind w:firstLine="0" w:firstLineChars="0"/>
              <w:jc w:val="both"/>
              <w:rPr>
                <w:rFonts w:ascii="Times New Roman" w:hAnsi="Times New Roman" w:cs="Times New Roman"/>
                <w:sz w:val="21"/>
                <w:szCs w:val="21"/>
                <w:highlight w:val="yellow"/>
              </w:rPr>
            </w:pPr>
            <w:r>
              <w:rPr>
                <w:rFonts w:ascii="Times New Roman" w:hAnsi="Times New Roman" w:cs="Times New Roman"/>
                <w:sz w:val="21"/>
                <w:szCs w:val="21"/>
              </w:rPr>
              <w:t xml:space="preserve">1.7 </w:t>
            </w:r>
            <w:r>
              <w:rPr>
                <w:rStyle w:val="26"/>
                <w:rFonts w:ascii="Times New Roman" w:hAnsi="Times New Roman" w:cs="Times New Roman"/>
                <w:sz w:val="21"/>
                <w:szCs w:val="21"/>
              </w:rPr>
              <w:t>Метод закупки</w:t>
            </w:r>
            <w:r>
              <w:rPr>
                <w:rFonts w:ascii="Times New Roman" w:hAnsi="Times New Roman" w:cs="Times New Roman"/>
                <w:sz w:val="21"/>
                <w:szCs w:val="21"/>
              </w:rPr>
              <w:t>:</w:t>
            </w:r>
            <w:r>
              <w:rPr>
                <w:rFonts w:ascii="Times New Roman" w:hAnsi="Times New Roman" w:cs="Times New Roman"/>
                <w:sz w:val="22"/>
              </w:rPr>
              <w:t xml:space="preserve"> </w:t>
            </w:r>
            <w:r>
              <w:rPr>
                <w:rFonts w:ascii="Times New Roman" w:hAnsi="Times New Roman" w:eastAsia="Segoe UI" w:cs="Times New Roman"/>
                <w:sz w:val="22"/>
                <w:shd w:val="clear" w:color="auto" w:fill="FFFFFF"/>
              </w:rPr>
              <w:t>Прямая закупка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621" w:type="dxa"/>
          </w:tcPr>
          <w:p>
            <w:pPr>
              <w:pStyle w:val="6"/>
              <w:spacing w:before="0" w:beforeLines="0" w:line="240" w:lineRule="auto"/>
              <w:jc w:val="both"/>
              <w:rPr>
                <w:rFonts w:ascii="楷体" w:hAnsi="楷体" w:eastAsia="楷体"/>
                <w:b w:val="0"/>
                <w:bCs/>
              </w:rPr>
            </w:pPr>
            <w:r>
              <w:rPr>
                <w:rFonts w:hint="eastAsia" w:ascii="楷体" w:hAnsi="楷体" w:eastAsia="楷体"/>
                <w:b w:val="0"/>
                <w:bCs/>
              </w:rPr>
              <w:t>1.8 报价方式增值税税率：按项目所在国增值税法规，填报适用本项目的增值税率。</w:t>
            </w:r>
          </w:p>
        </w:tc>
        <w:tc>
          <w:tcPr>
            <w:tcW w:w="4622" w:type="dxa"/>
          </w:tcPr>
          <w:p>
            <w:pPr>
              <w:spacing w:line="288" w:lineRule="auto"/>
              <w:ind w:firstLine="0" w:firstLineChars="0"/>
              <w:jc w:val="both"/>
              <w:rPr>
                <w:rFonts w:ascii="Times New Roman" w:hAnsi="Times New Roman" w:cs="Times New Roman"/>
                <w:sz w:val="21"/>
                <w:szCs w:val="21"/>
                <w:lang w:val="ru-RU"/>
              </w:rPr>
            </w:pPr>
            <w:r>
              <w:rPr>
                <w:rStyle w:val="26"/>
                <w:rFonts w:ascii="Times New Roman" w:hAnsi="Times New Roman" w:cs="Times New Roman"/>
                <w:sz w:val="21"/>
                <w:szCs w:val="21"/>
                <w:lang w:val="ru-RU"/>
              </w:rPr>
              <w:t>1.8 Метод указания налога на добавленную стоимость</w:t>
            </w:r>
            <w:r>
              <w:rPr>
                <w:rFonts w:ascii="Times New Roman" w:hAnsi="Times New Roman" w:cs="Times New Roman"/>
                <w:sz w:val="21"/>
                <w:szCs w:val="21"/>
                <w:lang w:val="ru-RU"/>
              </w:rPr>
              <w:t>: Заполнить ставку НДС, применимую для данного проекта, в соответствии с законодательством о НДС страны проекта.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621" w:type="dxa"/>
          </w:tcPr>
          <w:p>
            <w:pPr>
              <w:pStyle w:val="6"/>
              <w:spacing w:before="0" w:beforeLines="0" w:line="240" w:lineRule="auto"/>
              <w:jc w:val="both"/>
              <w:rPr>
                <w:rFonts w:ascii="楷体" w:hAnsi="楷体" w:eastAsia="楷体"/>
                <w:b w:val="0"/>
                <w:bCs/>
                <w:highlight w:val="yellow"/>
              </w:rPr>
            </w:pPr>
            <w:r>
              <w:rPr>
                <w:rFonts w:hint="eastAsia" w:ascii="楷体" w:hAnsi="楷体" w:eastAsia="楷体"/>
                <w:b w:val="0"/>
                <w:bCs/>
              </w:rPr>
              <w:t>1.9 报价开启时间：详见邀请函</w:t>
            </w:r>
          </w:p>
        </w:tc>
        <w:tc>
          <w:tcPr>
            <w:tcW w:w="4622" w:type="dxa"/>
          </w:tcPr>
          <w:p>
            <w:pPr>
              <w:spacing w:line="288" w:lineRule="auto"/>
              <w:ind w:firstLine="0" w:firstLineChars="0"/>
              <w:jc w:val="both"/>
              <w:rPr>
                <w:rFonts w:ascii="Times New Roman" w:hAnsi="Times New Roman" w:cs="Times New Roman"/>
                <w:sz w:val="21"/>
                <w:szCs w:val="21"/>
                <w:highlight w:val="yellow"/>
                <w:lang w:val="ru-RU"/>
              </w:rPr>
            </w:pPr>
            <w:r>
              <w:rPr>
                <w:rStyle w:val="26"/>
                <w:rFonts w:ascii="Times New Roman" w:hAnsi="Times New Roman" w:cs="Times New Roman"/>
                <w:sz w:val="22"/>
                <w:lang w:val="ru-RU"/>
              </w:rPr>
              <w:t>1.9 Время вскрытия предложений:</w:t>
            </w:r>
            <w:r>
              <w:rPr>
                <w:rFonts w:ascii="Times New Roman" w:hAnsi="Times New Roman" w:cs="Times New Roman"/>
                <w:sz w:val="22"/>
                <w:lang w:val="ru-RU"/>
              </w:rPr>
              <w:br w:type="textWrapping"/>
            </w:r>
            <w:r>
              <w:rPr>
                <w:rFonts w:ascii="Times New Roman" w:hAnsi="Times New Roman" w:cs="Times New Roman"/>
                <w:sz w:val="22"/>
                <w:lang w:val="ru-RU"/>
              </w:rPr>
              <w:t>См. подробности в приглашении.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621" w:type="dxa"/>
          </w:tcPr>
          <w:p>
            <w:pPr>
              <w:pStyle w:val="6"/>
              <w:spacing w:before="0" w:beforeLines="0" w:line="240" w:lineRule="auto"/>
              <w:jc w:val="both"/>
              <w:rPr>
                <w:rFonts w:ascii="楷体" w:hAnsi="楷体" w:eastAsia="楷体"/>
                <w:b w:val="0"/>
                <w:bCs/>
                <w:highlight w:val="yellow"/>
              </w:rPr>
            </w:pPr>
            <w:r>
              <w:rPr>
                <w:rFonts w:hint="eastAsia" w:ascii="楷体" w:hAnsi="楷体" w:eastAsia="楷体"/>
                <w:b w:val="0"/>
                <w:bCs/>
              </w:rPr>
              <w:t>1.10 报价开启地点：详见邀请函。</w:t>
            </w:r>
          </w:p>
        </w:tc>
        <w:tc>
          <w:tcPr>
            <w:tcW w:w="4622" w:type="dxa"/>
          </w:tcPr>
          <w:p>
            <w:pPr>
              <w:spacing w:line="288" w:lineRule="auto"/>
              <w:ind w:firstLine="0" w:firstLineChars="0"/>
              <w:jc w:val="both"/>
              <w:rPr>
                <w:rFonts w:ascii="Times New Roman" w:hAnsi="Times New Roman" w:cs="Times New Roman"/>
                <w:sz w:val="21"/>
                <w:szCs w:val="21"/>
                <w:highlight w:val="yellow"/>
                <w:lang w:val="ru-RU"/>
              </w:rPr>
            </w:pPr>
            <w:r>
              <w:rPr>
                <w:rStyle w:val="26"/>
                <w:rFonts w:ascii="Times New Roman" w:hAnsi="Times New Roman" w:cs="Times New Roman"/>
                <w:sz w:val="22"/>
                <w:lang w:val="ru-RU"/>
              </w:rPr>
              <w:t>1.10 Место вскрытия предложений:</w:t>
            </w:r>
            <w:r>
              <w:rPr>
                <w:rFonts w:ascii="Times New Roman" w:hAnsi="Times New Roman" w:cs="Times New Roman"/>
                <w:sz w:val="22"/>
                <w:lang w:val="ru-RU"/>
              </w:rPr>
              <w:br w:type="textWrapping"/>
            </w:r>
            <w:r>
              <w:rPr>
                <w:rFonts w:ascii="Times New Roman" w:hAnsi="Times New Roman" w:cs="Times New Roman"/>
                <w:sz w:val="22"/>
                <w:lang w:val="ru-RU"/>
              </w:rPr>
              <w:t>См. подробности в приглашении.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621" w:type="dxa"/>
          </w:tcPr>
          <w:p>
            <w:pPr>
              <w:pStyle w:val="6"/>
              <w:spacing w:before="0" w:beforeLines="0" w:line="240" w:lineRule="auto"/>
              <w:jc w:val="both"/>
              <w:rPr>
                <w:rFonts w:ascii="楷体" w:hAnsi="楷体" w:eastAsia="楷体"/>
                <w:b w:val="0"/>
                <w:bCs/>
              </w:rPr>
            </w:pPr>
            <w:r>
              <w:rPr>
                <w:rFonts w:hint="eastAsia" w:ascii="楷体" w:hAnsi="楷体" w:eastAsia="楷体"/>
                <w:b w:val="0"/>
                <w:bCs/>
              </w:rPr>
              <w:t>1.11 响应文件有效期：响应截止时间后60日历日。</w:t>
            </w:r>
          </w:p>
        </w:tc>
        <w:tc>
          <w:tcPr>
            <w:tcW w:w="4622" w:type="dxa"/>
          </w:tcPr>
          <w:p>
            <w:pPr>
              <w:spacing w:line="288" w:lineRule="auto"/>
              <w:ind w:firstLine="0" w:firstLineChars="0"/>
              <w:jc w:val="both"/>
              <w:rPr>
                <w:rFonts w:ascii="Times New Roman" w:hAnsi="Times New Roman" w:cs="Times New Roman"/>
                <w:sz w:val="21"/>
                <w:szCs w:val="21"/>
                <w:lang w:val="ru-RU"/>
              </w:rPr>
            </w:pPr>
            <w:r>
              <w:rPr>
                <w:rFonts w:ascii="Times New Roman" w:hAnsi="Times New Roman" w:cs="Times New Roman"/>
                <w:sz w:val="21"/>
                <w:szCs w:val="21"/>
                <w:lang w:val="ru-RU"/>
              </w:rPr>
              <w:t xml:space="preserve">1.11 </w:t>
            </w:r>
            <w:r>
              <w:rPr>
                <w:rFonts w:ascii="Times New Roman" w:hAnsi="Times New Roman" w:cs="Times New Roman"/>
                <w:b/>
                <w:bCs/>
                <w:sz w:val="21"/>
                <w:szCs w:val="21"/>
                <w:lang w:val="ru-RU"/>
              </w:rPr>
              <w:t>Срок действия откликов</w:t>
            </w:r>
            <w:r>
              <w:rPr>
                <w:rFonts w:ascii="Times New Roman" w:hAnsi="Times New Roman" w:cs="Times New Roman"/>
                <w:sz w:val="21"/>
                <w:szCs w:val="21"/>
                <w:lang w:val="ru-RU"/>
              </w:rPr>
              <w:t>: 60 календарных дней после окончания срока подачи откликов.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621" w:type="dxa"/>
          </w:tcPr>
          <w:p>
            <w:pPr>
              <w:pStyle w:val="6"/>
              <w:spacing w:before="0" w:beforeLines="0" w:line="240" w:lineRule="auto"/>
              <w:jc w:val="both"/>
              <w:rPr>
                <w:rFonts w:ascii="楷体" w:hAnsi="楷体" w:eastAsia="楷体"/>
                <w:b w:val="0"/>
                <w:bCs/>
              </w:rPr>
            </w:pPr>
            <w:r>
              <w:rPr>
                <w:rFonts w:hint="eastAsia" w:ascii="楷体" w:hAnsi="楷体" w:eastAsia="楷体"/>
                <w:b w:val="0"/>
                <w:bCs/>
              </w:rPr>
              <w:t>1.12 响应文件的编制：</w:t>
            </w:r>
          </w:p>
        </w:tc>
        <w:tc>
          <w:tcPr>
            <w:tcW w:w="4622" w:type="dxa"/>
          </w:tcPr>
          <w:p>
            <w:pPr>
              <w:spacing w:line="288" w:lineRule="auto"/>
              <w:ind w:firstLine="0" w:firstLineChars="0"/>
              <w:jc w:val="both"/>
              <w:rPr>
                <w:rFonts w:ascii="Times New Roman" w:hAnsi="Times New Roman" w:cs="Times New Roman"/>
                <w:sz w:val="21"/>
                <w:szCs w:val="21"/>
              </w:rPr>
            </w:pPr>
            <w:r>
              <w:rPr>
                <w:rFonts w:ascii="Times New Roman" w:hAnsi="Times New Roman" w:cs="Times New Roman"/>
                <w:sz w:val="21"/>
                <w:szCs w:val="21"/>
              </w:rPr>
              <w:t xml:space="preserve">1.12 </w:t>
            </w:r>
            <w:r>
              <w:rPr>
                <w:rFonts w:ascii="Times New Roman" w:hAnsi="Times New Roman" w:cs="Times New Roman"/>
                <w:b/>
                <w:bCs/>
                <w:sz w:val="21"/>
                <w:szCs w:val="21"/>
              </w:rPr>
              <w:t>Подготовка откликов</w:t>
            </w:r>
            <w:r>
              <w:rPr>
                <w:rFonts w:ascii="Times New Roman" w:hAnsi="Times New Roman" w:cs="Times New Roman"/>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621" w:type="dxa"/>
          </w:tcPr>
          <w:p>
            <w:pPr>
              <w:pStyle w:val="6"/>
              <w:numPr>
                <w:ilvl w:val="0"/>
                <w:numId w:val="2"/>
              </w:numPr>
              <w:spacing w:before="0" w:beforeLines="0" w:line="240" w:lineRule="auto"/>
              <w:jc w:val="both"/>
              <w:rPr>
                <w:rFonts w:ascii="楷体" w:hAnsi="楷体" w:eastAsia="楷体"/>
                <w:b w:val="0"/>
                <w:bCs/>
              </w:rPr>
            </w:pPr>
            <w:r>
              <w:rPr>
                <w:rFonts w:hint="eastAsia" w:ascii="楷体" w:hAnsi="楷体" w:eastAsia="楷体"/>
                <w:b w:val="0"/>
                <w:bCs/>
              </w:rPr>
              <w:t>响应文件中所有文字或图表等必须清晰可辨，关键内容不可辨认或难以辨认的，评审小组有权以相关响应内容未提供处理。</w:t>
            </w:r>
          </w:p>
        </w:tc>
        <w:tc>
          <w:tcPr>
            <w:tcW w:w="4622" w:type="dxa"/>
          </w:tcPr>
          <w:p>
            <w:pPr>
              <w:spacing w:line="288" w:lineRule="auto"/>
              <w:ind w:firstLine="0" w:firstLineChars="0"/>
              <w:jc w:val="both"/>
              <w:rPr>
                <w:rFonts w:ascii="Times New Roman" w:hAnsi="Times New Roman" w:cs="Times New Roman"/>
                <w:sz w:val="21"/>
                <w:szCs w:val="21"/>
                <w:lang w:val="ru-RU"/>
              </w:rPr>
            </w:pPr>
            <w:r>
              <w:rPr>
                <w:rFonts w:ascii="Times New Roman" w:hAnsi="Times New Roman" w:cs="Times New Roman"/>
                <w:sz w:val="21"/>
                <w:szCs w:val="21"/>
                <w:lang w:val="ru-RU"/>
              </w:rPr>
              <w:t>（1）Все текстовые или графические материалы в отклике должны быть четкими и читаемыми; если ключевая информация неразборчива или трудночитаема, комиссия имеет право считать данную информацию не представленной.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621" w:type="dxa"/>
          </w:tcPr>
          <w:p>
            <w:pPr>
              <w:pStyle w:val="6"/>
              <w:numPr>
                <w:ilvl w:val="0"/>
                <w:numId w:val="2"/>
              </w:numPr>
              <w:spacing w:before="0" w:beforeLines="0" w:line="240" w:lineRule="auto"/>
              <w:jc w:val="both"/>
              <w:rPr>
                <w:rFonts w:ascii="楷体" w:hAnsi="楷体" w:eastAsia="楷体"/>
                <w:b w:val="0"/>
                <w:bCs/>
              </w:rPr>
            </w:pPr>
            <w:r>
              <w:rPr>
                <w:rFonts w:hint="eastAsia" w:ascii="楷体" w:hAnsi="楷体" w:eastAsia="楷体"/>
                <w:b w:val="0"/>
                <w:bCs/>
              </w:rPr>
              <w:t>按照采购文件“第六章 供应商响应文件格式”要求编制，如有必要，可以增加附页，作为响应文件的组成部分。</w:t>
            </w:r>
          </w:p>
        </w:tc>
        <w:tc>
          <w:tcPr>
            <w:tcW w:w="4622" w:type="dxa"/>
          </w:tcPr>
          <w:p>
            <w:pPr>
              <w:pStyle w:val="16"/>
              <w:spacing w:line="288" w:lineRule="auto"/>
              <w:ind w:firstLine="0" w:firstLineChars="0"/>
              <w:rPr>
                <w:sz w:val="21"/>
                <w:szCs w:val="21"/>
                <w:lang w:val="ru-RU"/>
              </w:rPr>
            </w:pPr>
            <w:r>
              <w:rPr>
                <w:sz w:val="21"/>
                <w:szCs w:val="21"/>
                <w:lang w:val="ru-RU"/>
              </w:rPr>
              <w:t>（2）Отклик должен быть подготовлен в соответствии с требованиями Глава 6 "Формат отклика поставщика" закупочных документов; при необходимости можно добавить дополнительные страницы, которые будут частью отклика.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621" w:type="dxa"/>
          </w:tcPr>
          <w:p>
            <w:pPr>
              <w:pStyle w:val="6"/>
              <w:numPr>
                <w:ilvl w:val="0"/>
                <w:numId w:val="2"/>
              </w:numPr>
              <w:spacing w:before="0" w:beforeLines="0" w:line="240" w:lineRule="auto"/>
              <w:jc w:val="both"/>
              <w:rPr>
                <w:rFonts w:ascii="楷体" w:hAnsi="楷体" w:eastAsia="楷体"/>
                <w:b w:val="0"/>
                <w:bCs/>
              </w:rPr>
            </w:pPr>
            <w:r>
              <w:rPr>
                <w:rFonts w:hint="eastAsia" w:ascii="楷体" w:hAnsi="楷体" w:eastAsia="楷体"/>
                <w:b w:val="0"/>
                <w:bCs/>
              </w:rPr>
              <w:t>以上所有文件对同一响应内容的描述必须相同，否则，评审小组不对因此导致的评审偏差负责。</w:t>
            </w:r>
          </w:p>
        </w:tc>
        <w:tc>
          <w:tcPr>
            <w:tcW w:w="4622" w:type="dxa"/>
          </w:tcPr>
          <w:p>
            <w:pPr>
              <w:pStyle w:val="6"/>
              <w:spacing w:before="0" w:beforeLines="0" w:line="288" w:lineRule="auto"/>
              <w:jc w:val="both"/>
              <w:rPr>
                <w:rFonts w:ascii="Times New Roman" w:hAnsi="Times New Roman" w:cs="Times New Roman"/>
                <w:sz w:val="21"/>
                <w:szCs w:val="21"/>
                <w:lang w:val="ru-RU"/>
              </w:rPr>
            </w:pPr>
            <w:r>
              <w:rPr>
                <w:rFonts w:ascii="Times New Roman" w:hAnsi="Times New Roman" w:cs="Times New Roman"/>
                <w:sz w:val="21"/>
                <w:szCs w:val="21"/>
                <w:lang w:val="ru-RU"/>
              </w:rPr>
              <w:t>（3）Все документы, относящиеся к одному отклику, должны быть согласованы, если они не совпадают, комиссия не несет ответственности за возможные расхождения в оценке.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621" w:type="dxa"/>
          </w:tcPr>
          <w:p>
            <w:pPr>
              <w:pStyle w:val="6"/>
              <w:numPr>
                <w:ilvl w:val="0"/>
                <w:numId w:val="2"/>
              </w:numPr>
              <w:spacing w:before="0" w:beforeLines="0" w:line="240" w:lineRule="auto"/>
              <w:jc w:val="both"/>
              <w:rPr>
                <w:rFonts w:ascii="楷体" w:hAnsi="楷体" w:eastAsia="楷体"/>
                <w:b w:val="0"/>
                <w:bCs/>
              </w:rPr>
            </w:pPr>
            <w:r>
              <w:rPr>
                <w:rFonts w:hint="eastAsia" w:ascii="楷体" w:hAnsi="楷体" w:eastAsia="楷体"/>
                <w:b w:val="0"/>
                <w:bCs/>
              </w:rPr>
              <w:t>响应文件在满足采购文件实质性要求的基础上，可以提出比采购文件要求更有利于采购人的承诺。</w:t>
            </w:r>
          </w:p>
        </w:tc>
        <w:tc>
          <w:tcPr>
            <w:tcW w:w="4622" w:type="dxa"/>
          </w:tcPr>
          <w:p>
            <w:pPr>
              <w:spacing w:line="288" w:lineRule="auto"/>
              <w:ind w:firstLine="0" w:firstLineChars="0"/>
              <w:jc w:val="both"/>
              <w:rPr>
                <w:rFonts w:ascii="Times New Roman" w:hAnsi="Times New Roman" w:cs="Times New Roman"/>
                <w:sz w:val="21"/>
                <w:szCs w:val="21"/>
                <w:lang w:val="ru-RU"/>
              </w:rPr>
            </w:pPr>
            <w:r>
              <w:rPr>
                <w:rFonts w:ascii="Times New Roman" w:hAnsi="Times New Roman" w:cs="Times New Roman"/>
                <w:sz w:val="21"/>
                <w:szCs w:val="21"/>
                <w:lang w:val="ru-RU"/>
              </w:rPr>
              <w:t>（4）Отклики могут содержать предложения, которые более выгодны для заказчика, чем требования закупочных документов.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621" w:type="dxa"/>
          </w:tcPr>
          <w:p>
            <w:pPr>
              <w:pStyle w:val="6"/>
              <w:numPr>
                <w:ilvl w:val="0"/>
                <w:numId w:val="2"/>
              </w:numPr>
              <w:spacing w:before="0" w:beforeLines="0" w:line="240" w:lineRule="auto"/>
              <w:jc w:val="both"/>
              <w:rPr>
                <w:rFonts w:ascii="楷体" w:hAnsi="楷体" w:eastAsia="楷体"/>
                <w:b w:val="0"/>
                <w:bCs/>
              </w:rPr>
            </w:pPr>
            <w:r>
              <w:rPr>
                <w:rFonts w:hint="eastAsia" w:ascii="楷体" w:hAnsi="楷体" w:eastAsia="楷体"/>
                <w:b w:val="0"/>
                <w:bCs/>
              </w:rPr>
              <w:t>供应商所递交的响应文件 (包括有关资料、澄清) 应真实可信，不存在虚假 (包括隐瞒) 信息，否则按废标处理。合同签订后，发现供应商存在此情况时，采购人有权终止合同，相应责任及损失由供应商承担。</w:t>
            </w:r>
          </w:p>
        </w:tc>
        <w:tc>
          <w:tcPr>
            <w:tcW w:w="4622" w:type="dxa"/>
          </w:tcPr>
          <w:p>
            <w:pPr>
              <w:spacing w:line="288" w:lineRule="auto"/>
              <w:ind w:firstLine="0" w:firstLineChars="0"/>
              <w:jc w:val="both"/>
              <w:rPr>
                <w:rFonts w:ascii="Times New Roman" w:hAnsi="Times New Roman" w:cs="Times New Roman"/>
                <w:sz w:val="21"/>
                <w:szCs w:val="21"/>
                <w:lang w:val="ru-RU"/>
              </w:rPr>
            </w:pPr>
            <w:r>
              <w:rPr>
                <w:rFonts w:ascii="Times New Roman" w:hAnsi="Times New Roman" w:cs="Times New Roman"/>
                <w:sz w:val="21"/>
                <w:szCs w:val="21"/>
                <w:lang w:val="ru-RU"/>
              </w:rPr>
              <w:t>（5）Поставщик должен подать достоверные и правдивые отклики (включая сопроводительные документы и разъяснения); если информация окажется ложной (включая сокрытие фактов), отклик будет отклонен. После подписания контракта заказчик имеет право его расторгнуть, а поставщик несет ответственность за убытки и ущерб.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621" w:type="dxa"/>
          </w:tcPr>
          <w:p>
            <w:pPr>
              <w:pStyle w:val="6"/>
              <w:spacing w:before="0" w:beforeLines="0" w:line="240" w:lineRule="auto"/>
              <w:jc w:val="both"/>
              <w:rPr>
                <w:rFonts w:ascii="楷体" w:hAnsi="楷体" w:eastAsia="楷体"/>
                <w:b w:val="0"/>
                <w:bCs/>
                <w:highlight w:val="yellow"/>
              </w:rPr>
            </w:pPr>
            <w:r>
              <w:rPr>
                <w:rFonts w:hint="eastAsia" w:ascii="楷体" w:hAnsi="楷体" w:eastAsia="楷体"/>
                <w:b w:val="0"/>
                <w:bCs/>
              </w:rPr>
              <w:t>1.13异议提出与受理：详见邀请函</w:t>
            </w:r>
          </w:p>
        </w:tc>
        <w:tc>
          <w:tcPr>
            <w:tcW w:w="4622" w:type="dxa"/>
          </w:tcPr>
          <w:p>
            <w:pPr>
              <w:pStyle w:val="6"/>
              <w:spacing w:before="0" w:beforeLines="0" w:line="288" w:lineRule="auto"/>
              <w:jc w:val="both"/>
              <w:rPr>
                <w:rFonts w:ascii="Times New Roman" w:hAnsi="Times New Roman" w:cs="Times New Roman"/>
                <w:sz w:val="21"/>
                <w:szCs w:val="21"/>
                <w:highlight w:val="yellow"/>
                <w:lang w:val="ru-RU"/>
              </w:rPr>
            </w:pPr>
            <w:r>
              <w:rPr>
                <w:rStyle w:val="26"/>
                <w:rFonts w:ascii="Times New Roman" w:hAnsi="Times New Roman" w:cs="Times New Roman"/>
                <w:b w:val="0"/>
                <w:sz w:val="22"/>
                <w:lang w:val="ru-RU"/>
              </w:rPr>
              <w:t>1.13 Подача и рассмотрение возражений:</w:t>
            </w:r>
            <w:r>
              <w:rPr>
                <w:rFonts w:ascii="Times New Roman" w:hAnsi="Times New Roman" w:cs="Times New Roman"/>
                <w:sz w:val="22"/>
                <w:lang w:val="ru-RU"/>
              </w:rPr>
              <w:br w:type="textWrapping"/>
            </w:r>
            <w:r>
              <w:rPr>
                <w:rFonts w:ascii="Times New Roman" w:hAnsi="Times New Roman" w:cs="Times New Roman"/>
                <w:sz w:val="22"/>
                <w:lang w:val="ru-RU"/>
              </w:rPr>
              <w:t>См. подробности в приглашении.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621" w:type="dxa"/>
          </w:tcPr>
          <w:p>
            <w:pPr>
              <w:pStyle w:val="6"/>
              <w:spacing w:before="0" w:beforeLines="0" w:line="240" w:lineRule="auto"/>
              <w:jc w:val="both"/>
              <w:rPr>
                <w:rFonts w:ascii="楷体" w:hAnsi="楷体" w:eastAsia="楷体"/>
                <w:b w:val="0"/>
                <w:bCs/>
                <w:highlight w:val="yellow"/>
              </w:rPr>
            </w:pPr>
            <w:r>
              <w:rPr>
                <w:rFonts w:hint="eastAsia" w:ascii="楷体" w:hAnsi="楷体" w:eastAsia="楷体"/>
                <w:b w:val="0"/>
                <w:bCs/>
              </w:rPr>
              <w:t>1.14 开标时间和地点：详见邀请函</w:t>
            </w:r>
          </w:p>
        </w:tc>
        <w:tc>
          <w:tcPr>
            <w:tcW w:w="4622" w:type="dxa"/>
          </w:tcPr>
          <w:p>
            <w:pPr>
              <w:spacing w:line="288" w:lineRule="auto"/>
              <w:ind w:firstLine="0" w:firstLineChars="0"/>
              <w:jc w:val="both"/>
              <w:rPr>
                <w:rFonts w:ascii="Times New Roman" w:hAnsi="Times New Roman" w:cs="Times New Roman"/>
                <w:sz w:val="21"/>
                <w:szCs w:val="21"/>
                <w:highlight w:val="yellow"/>
                <w:lang w:val="ru-RU"/>
              </w:rPr>
            </w:pPr>
            <w:r>
              <w:rPr>
                <w:rStyle w:val="26"/>
                <w:rFonts w:ascii="Times New Roman" w:hAnsi="Times New Roman" w:cs="Times New Roman"/>
                <w:sz w:val="22"/>
                <w:lang w:val="ru-RU"/>
              </w:rPr>
              <w:t>1.14 Время и место вскрытия тендерных предложений:</w:t>
            </w:r>
            <w:r>
              <w:rPr>
                <w:rFonts w:ascii="Times New Roman" w:hAnsi="Times New Roman" w:cs="Times New Roman"/>
                <w:sz w:val="22"/>
                <w:lang w:val="ru-RU"/>
              </w:rPr>
              <w:br w:type="textWrapping"/>
            </w:r>
            <w:r>
              <w:rPr>
                <w:rFonts w:ascii="Times New Roman" w:hAnsi="Times New Roman" w:cs="Times New Roman"/>
                <w:sz w:val="22"/>
                <w:lang w:val="ru-RU"/>
              </w:rPr>
              <w:t>См. подробности в приглашении.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621" w:type="dxa"/>
          </w:tcPr>
          <w:p>
            <w:pPr>
              <w:pStyle w:val="6"/>
              <w:spacing w:before="0" w:beforeLines="0" w:line="240" w:lineRule="auto"/>
              <w:jc w:val="both"/>
              <w:rPr>
                <w:rFonts w:ascii="楷体" w:hAnsi="楷体" w:eastAsia="楷体"/>
                <w:b w:val="0"/>
                <w:bCs/>
              </w:rPr>
            </w:pPr>
            <w:r>
              <w:rPr>
                <w:rFonts w:hint="eastAsia" w:ascii="楷体" w:hAnsi="楷体" w:eastAsia="楷体"/>
                <w:b w:val="0"/>
                <w:bCs/>
              </w:rPr>
              <w:t>1.15 评审由采购人依法组建的评审小组负责。评审小组按照阿克套项目相关制度组建。</w:t>
            </w:r>
          </w:p>
        </w:tc>
        <w:tc>
          <w:tcPr>
            <w:tcW w:w="4622" w:type="dxa"/>
          </w:tcPr>
          <w:p>
            <w:pPr>
              <w:spacing w:line="288" w:lineRule="auto"/>
              <w:ind w:firstLine="0" w:firstLineChars="0"/>
              <w:jc w:val="both"/>
              <w:rPr>
                <w:rFonts w:ascii="Times New Roman" w:hAnsi="Times New Roman" w:cs="Times New Roman"/>
                <w:sz w:val="21"/>
                <w:szCs w:val="21"/>
                <w:lang w:val="ru-RU"/>
              </w:rPr>
            </w:pPr>
            <w:r>
              <w:rPr>
                <w:rFonts w:ascii="Times New Roman" w:hAnsi="Times New Roman" w:cs="Times New Roman"/>
                <w:b/>
                <w:bCs/>
                <w:sz w:val="21"/>
                <w:szCs w:val="21"/>
                <w:lang w:val="ru-RU"/>
              </w:rPr>
              <w:t>1.15 Оценка предложений</w:t>
            </w:r>
            <w:r>
              <w:rPr>
                <w:rFonts w:ascii="Times New Roman" w:hAnsi="Times New Roman" w:cs="Times New Roman"/>
                <w:sz w:val="21"/>
                <w:szCs w:val="21"/>
                <w:lang w:val="ru-RU"/>
              </w:rPr>
              <w:t xml:space="preserve"> будет проводиться комиссией, созданной заказчиком в соответствии с законодательством.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621" w:type="dxa"/>
          </w:tcPr>
          <w:p>
            <w:pPr>
              <w:pStyle w:val="6"/>
              <w:spacing w:before="0" w:beforeLines="0" w:line="240" w:lineRule="auto"/>
              <w:jc w:val="both"/>
              <w:rPr>
                <w:rFonts w:ascii="楷体" w:hAnsi="楷体" w:eastAsia="楷体"/>
                <w:b w:val="0"/>
                <w:bCs/>
              </w:rPr>
            </w:pPr>
            <w:r>
              <w:rPr>
                <w:rFonts w:hint="eastAsia" w:ascii="楷体" w:hAnsi="楷体" w:eastAsia="楷体"/>
                <w:b w:val="0"/>
                <w:bCs/>
              </w:rPr>
              <w:t>1.16 评审活动遵循公平、公正、科学和择优的原则。</w:t>
            </w:r>
          </w:p>
        </w:tc>
        <w:tc>
          <w:tcPr>
            <w:tcW w:w="4622" w:type="dxa"/>
          </w:tcPr>
          <w:p>
            <w:pPr>
              <w:spacing w:line="288" w:lineRule="auto"/>
              <w:ind w:firstLine="0" w:firstLineChars="0"/>
              <w:jc w:val="both"/>
              <w:rPr>
                <w:rFonts w:ascii="Times New Roman" w:hAnsi="Times New Roman" w:cs="Times New Roman"/>
                <w:sz w:val="21"/>
                <w:szCs w:val="21"/>
                <w:lang w:val="ru-RU"/>
              </w:rPr>
            </w:pPr>
            <w:r>
              <w:rPr>
                <w:rFonts w:ascii="Times New Roman" w:hAnsi="Times New Roman" w:cs="Times New Roman"/>
                <w:sz w:val="21"/>
                <w:szCs w:val="21"/>
                <w:lang w:val="ru-RU"/>
              </w:rPr>
              <w:t xml:space="preserve">1.16 </w:t>
            </w:r>
            <w:r>
              <w:rPr>
                <w:rFonts w:ascii="Times New Roman" w:hAnsi="Times New Roman" w:cs="Times New Roman"/>
                <w:b/>
                <w:bCs/>
                <w:sz w:val="21"/>
                <w:szCs w:val="21"/>
                <w:lang w:val="ru-RU"/>
              </w:rPr>
              <w:t>Оценка</w:t>
            </w:r>
            <w:r>
              <w:rPr>
                <w:rFonts w:ascii="Times New Roman" w:hAnsi="Times New Roman" w:cs="Times New Roman"/>
                <w:sz w:val="21"/>
                <w:szCs w:val="21"/>
                <w:lang w:val="ru-RU"/>
              </w:rPr>
              <w:t xml:space="preserve"> будет проводиться по принципам честности, справедливости, научности и наилучшего выбора.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621" w:type="dxa"/>
          </w:tcPr>
          <w:p>
            <w:pPr>
              <w:pStyle w:val="6"/>
              <w:spacing w:before="0" w:beforeLines="0" w:line="240" w:lineRule="auto"/>
              <w:jc w:val="both"/>
              <w:rPr>
                <w:rFonts w:ascii="楷体" w:hAnsi="楷体" w:eastAsia="楷体"/>
                <w:b w:val="0"/>
                <w:bCs/>
              </w:rPr>
            </w:pPr>
            <w:r>
              <w:rPr>
                <w:rFonts w:hint="eastAsia" w:ascii="楷体" w:hAnsi="楷体" w:eastAsia="楷体"/>
                <w:b w:val="0"/>
                <w:bCs/>
              </w:rPr>
              <w:t>1.17 评审小组按照第三章“评审办法”规定的方法、评审因素、标准和程序对响应文件进行评审。</w:t>
            </w:r>
          </w:p>
        </w:tc>
        <w:tc>
          <w:tcPr>
            <w:tcW w:w="4622" w:type="dxa"/>
          </w:tcPr>
          <w:p>
            <w:pPr>
              <w:spacing w:line="288" w:lineRule="auto"/>
              <w:ind w:firstLine="0" w:firstLineChars="0"/>
              <w:jc w:val="both"/>
              <w:rPr>
                <w:rFonts w:ascii="Times New Roman" w:hAnsi="Times New Roman" w:cs="Times New Roman"/>
                <w:sz w:val="21"/>
                <w:szCs w:val="21"/>
                <w:lang w:val="ru-RU"/>
              </w:rPr>
            </w:pPr>
            <w:r>
              <w:rPr>
                <w:rFonts w:ascii="Times New Roman" w:hAnsi="Times New Roman" w:cs="Times New Roman"/>
                <w:sz w:val="21"/>
                <w:szCs w:val="21"/>
                <w:lang w:val="ru-RU"/>
              </w:rPr>
              <w:t xml:space="preserve">1.17 </w:t>
            </w:r>
            <w:r>
              <w:rPr>
                <w:rFonts w:ascii="Times New Roman" w:hAnsi="Times New Roman" w:cs="Times New Roman"/>
                <w:b/>
                <w:bCs/>
                <w:sz w:val="21"/>
                <w:szCs w:val="21"/>
                <w:lang w:val="ru-RU"/>
              </w:rPr>
              <w:t>Комиссия</w:t>
            </w:r>
            <w:r>
              <w:rPr>
                <w:rFonts w:ascii="Times New Roman" w:hAnsi="Times New Roman" w:cs="Times New Roman"/>
                <w:sz w:val="21"/>
                <w:szCs w:val="21"/>
                <w:lang w:val="ru-RU"/>
              </w:rPr>
              <w:t xml:space="preserve"> будет оценивать отклики согласно методологии, критериям, стандартам и процедурам, изложенным в Главе 3 "Методика оценки".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621" w:type="dxa"/>
          </w:tcPr>
          <w:p>
            <w:pPr>
              <w:pStyle w:val="6"/>
              <w:spacing w:before="0" w:beforeLines="0" w:line="240" w:lineRule="auto"/>
              <w:jc w:val="both"/>
              <w:rPr>
                <w:rFonts w:ascii="楷体" w:hAnsi="楷体" w:eastAsia="楷体"/>
                <w:b w:val="0"/>
                <w:bCs/>
              </w:rPr>
            </w:pPr>
            <w:r>
              <w:rPr>
                <w:rFonts w:hint="eastAsia" w:ascii="楷体" w:hAnsi="楷体" w:eastAsia="楷体"/>
                <w:b w:val="0"/>
                <w:bCs/>
              </w:rPr>
              <w:t>1.18 评审完成后，评审小组应当向采购人提交书面评审报告和成交候选人名单。</w:t>
            </w:r>
          </w:p>
        </w:tc>
        <w:tc>
          <w:tcPr>
            <w:tcW w:w="4622" w:type="dxa"/>
          </w:tcPr>
          <w:p>
            <w:pPr>
              <w:spacing w:line="288" w:lineRule="auto"/>
              <w:ind w:firstLine="0" w:firstLineChars="0"/>
              <w:jc w:val="both"/>
              <w:rPr>
                <w:rFonts w:ascii="Times New Roman" w:hAnsi="Times New Roman" w:cs="Times New Roman"/>
                <w:sz w:val="21"/>
                <w:szCs w:val="21"/>
                <w:lang w:val="ru-RU"/>
              </w:rPr>
            </w:pPr>
            <w:r>
              <w:rPr>
                <w:rFonts w:ascii="Times New Roman" w:hAnsi="Times New Roman" w:cs="Times New Roman"/>
                <w:sz w:val="21"/>
                <w:szCs w:val="21"/>
                <w:lang w:val="ru-RU"/>
              </w:rPr>
              <w:t xml:space="preserve">1.18 </w:t>
            </w:r>
            <w:r>
              <w:rPr>
                <w:rFonts w:ascii="Times New Roman" w:hAnsi="Times New Roman" w:cs="Times New Roman"/>
                <w:b/>
                <w:bCs/>
                <w:sz w:val="21"/>
                <w:szCs w:val="21"/>
                <w:lang w:val="ru-RU"/>
              </w:rPr>
              <w:t>После завершения оценки</w:t>
            </w:r>
            <w:r>
              <w:rPr>
                <w:rFonts w:ascii="Times New Roman" w:hAnsi="Times New Roman" w:cs="Times New Roman"/>
                <w:sz w:val="21"/>
                <w:szCs w:val="21"/>
                <w:lang w:val="ru-RU"/>
              </w:rPr>
              <w:t xml:space="preserve"> комиссия должна предоставить заказчику письменный отчет об оценке и список предварительных победителей.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621" w:type="dxa"/>
          </w:tcPr>
          <w:p>
            <w:pPr>
              <w:pStyle w:val="6"/>
              <w:spacing w:before="0" w:beforeLines="0" w:line="240" w:lineRule="auto"/>
              <w:jc w:val="both"/>
              <w:rPr>
                <w:rFonts w:ascii="楷体" w:hAnsi="楷体" w:eastAsia="楷体"/>
                <w:b w:val="0"/>
                <w:bCs/>
              </w:rPr>
            </w:pPr>
            <w:r>
              <w:rPr>
                <w:rFonts w:hint="eastAsia" w:ascii="楷体" w:hAnsi="楷体" w:eastAsia="楷体"/>
                <w:b w:val="0"/>
                <w:bCs/>
              </w:rPr>
              <w:t>1.19 评审小组推荐预成交供应商的个数：1个。</w:t>
            </w:r>
          </w:p>
        </w:tc>
        <w:tc>
          <w:tcPr>
            <w:tcW w:w="4622" w:type="dxa"/>
          </w:tcPr>
          <w:p>
            <w:pPr>
              <w:spacing w:line="288" w:lineRule="auto"/>
              <w:ind w:firstLine="0" w:firstLineChars="0"/>
              <w:jc w:val="both"/>
              <w:rPr>
                <w:rFonts w:ascii="Times New Roman" w:hAnsi="Times New Roman" w:cs="Times New Roman"/>
                <w:sz w:val="21"/>
                <w:szCs w:val="21"/>
                <w:lang w:val="ru-RU"/>
              </w:rPr>
            </w:pPr>
            <w:r>
              <w:rPr>
                <w:rFonts w:ascii="Times New Roman" w:hAnsi="Times New Roman" w:cs="Times New Roman"/>
                <w:sz w:val="21"/>
                <w:szCs w:val="21"/>
                <w:lang w:val="ru-RU"/>
              </w:rPr>
              <w:t xml:space="preserve">1.19 </w:t>
            </w:r>
            <w:r>
              <w:rPr>
                <w:rFonts w:ascii="Times New Roman" w:hAnsi="Times New Roman" w:cs="Times New Roman"/>
                <w:b/>
                <w:bCs/>
                <w:sz w:val="21"/>
                <w:szCs w:val="21"/>
                <w:lang w:val="ru-RU"/>
              </w:rPr>
              <w:t>Количество рекомендованных для заключения контракта поставщиков</w:t>
            </w:r>
            <w:r>
              <w:rPr>
                <w:rFonts w:ascii="Times New Roman" w:hAnsi="Times New Roman" w:cs="Times New Roman"/>
                <w:sz w:val="21"/>
                <w:szCs w:val="21"/>
                <w:lang w:val="ru-RU"/>
              </w:rPr>
              <w:t>: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621" w:type="dxa"/>
          </w:tcPr>
          <w:p>
            <w:pPr>
              <w:pStyle w:val="6"/>
              <w:spacing w:before="0" w:beforeLines="0" w:line="240" w:lineRule="auto"/>
              <w:jc w:val="both"/>
              <w:rPr>
                <w:rFonts w:ascii="楷体" w:hAnsi="楷体" w:eastAsia="楷体"/>
                <w:b w:val="0"/>
                <w:bCs/>
              </w:rPr>
            </w:pPr>
            <w:r>
              <w:rPr>
                <w:rFonts w:hint="eastAsia" w:ascii="楷体" w:hAnsi="楷体" w:eastAsia="楷体"/>
                <w:b w:val="0"/>
                <w:bCs/>
              </w:rPr>
              <w:t>1.20 成交候选人公示：采购人将以书面形式将成交候选人情况通知所有参与供应商。</w:t>
            </w:r>
          </w:p>
        </w:tc>
        <w:tc>
          <w:tcPr>
            <w:tcW w:w="4622" w:type="dxa"/>
          </w:tcPr>
          <w:p>
            <w:pPr>
              <w:spacing w:line="288" w:lineRule="auto"/>
              <w:ind w:firstLine="0" w:firstLineChars="0"/>
              <w:jc w:val="both"/>
              <w:rPr>
                <w:rFonts w:ascii="Times New Roman" w:hAnsi="Times New Roman" w:cs="Times New Roman"/>
                <w:sz w:val="21"/>
                <w:szCs w:val="21"/>
                <w:lang w:val="ru-RU"/>
              </w:rPr>
            </w:pPr>
            <w:r>
              <w:rPr>
                <w:rFonts w:ascii="Times New Roman" w:hAnsi="Times New Roman" w:cs="Times New Roman"/>
                <w:sz w:val="21"/>
                <w:szCs w:val="21"/>
                <w:lang w:val="ru-RU"/>
              </w:rPr>
              <w:t xml:space="preserve">1.20 </w:t>
            </w:r>
            <w:r>
              <w:rPr>
                <w:rFonts w:ascii="Times New Roman" w:hAnsi="Times New Roman" w:cs="Times New Roman"/>
                <w:b/>
                <w:bCs/>
                <w:sz w:val="21"/>
                <w:szCs w:val="21"/>
                <w:lang w:val="ru-RU"/>
              </w:rPr>
              <w:t>Объявление победителей</w:t>
            </w:r>
            <w:r>
              <w:rPr>
                <w:rFonts w:ascii="Times New Roman" w:hAnsi="Times New Roman" w:cs="Times New Roman"/>
                <w:sz w:val="21"/>
                <w:szCs w:val="21"/>
                <w:lang w:val="ru-RU"/>
              </w:rPr>
              <w:t>: Заказчик уведомит всех участников тендера о победителях в письменной форме.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621" w:type="dxa"/>
          </w:tcPr>
          <w:p>
            <w:pPr>
              <w:pStyle w:val="6"/>
              <w:spacing w:before="0" w:beforeLines="0" w:line="240" w:lineRule="auto"/>
              <w:jc w:val="both"/>
              <w:rPr>
                <w:rFonts w:ascii="楷体" w:hAnsi="楷体" w:eastAsia="楷体"/>
                <w:b w:val="0"/>
                <w:bCs/>
              </w:rPr>
            </w:pPr>
            <w:r>
              <w:rPr>
                <w:rFonts w:hint="eastAsia" w:ascii="楷体" w:hAnsi="楷体" w:eastAsia="楷体"/>
                <w:b w:val="0"/>
                <w:bCs/>
              </w:rPr>
              <w:t>1.21 评审结果异议：供应商或者其他利害关系人对评审结果有异议的，应当在成交候选人公示期间提出。采购人将在收到异议之日起3 日内作出答复；作出答复前，将暂停招标响应活动。</w:t>
            </w:r>
          </w:p>
        </w:tc>
        <w:tc>
          <w:tcPr>
            <w:tcW w:w="4622" w:type="dxa"/>
          </w:tcPr>
          <w:p>
            <w:pPr>
              <w:spacing w:line="288" w:lineRule="auto"/>
              <w:ind w:firstLine="0" w:firstLineChars="0"/>
              <w:jc w:val="both"/>
              <w:rPr>
                <w:rFonts w:ascii="Times New Roman" w:hAnsi="Times New Roman" w:cs="Times New Roman"/>
                <w:sz w:val="21"/>
                <w:szCs w:val="21"/>
              </w:rPr>
            </w:pPr>
            <w:r>
              <w:rPr>
                <w:rFonts w:ascii="Times New Roman" w:hAnsi="Times New Roman" w:cs="Times New Roman"/>
                <w:sz w:val="21"/>
                <w:szCs w:val="21"/>
                <w:lang w:val="ru-RU"/>
              </w:rPr>
              <w:t xml:space="preserve">1.21 </w:t>
            </w:r>
            <w:r>
              <w:rPr>
                <w:rFonts w:ascii="Times New Roman" w:hAnsi="Times New Roman" w:cs="Times New Roman"/>
                <w:b/>
                <w:bCs/>
                <w:sz w:val="21"/>
                <w:szCs w:val="21"/>
                <w:lang w:val="ru-RU"/>
              </w:rPr>
              <w:t>Возражения против результатов оценки</w:t>
            </w:r>
            <w:r>
              <w:rPr>
                <w:rFonts w:ascii="Times New Roman" w:hAnsi="Times New Roman" w:cs="Times New Roman"/>
                <w:sz w:val="21"/>
                <w:szCs w:val="21"/>
                <w:lang w:val="ru-RU"/>
              </w:rPr>
              <w:t xml:space="preserve">: Поставщики или другие заинтересованные стороны, которые имеют возражения против результатов оценки, должны подать их в период опубликования списка предварительных победителей. Заказчик должен ответить на возражение в течение 3 дней с момента получения. </w:t>
            </w:r>
            <w:r>
              <w:rPr>
                <w:rFonts w:ascii="Times New Roman" w:hAnsi="Times New Roman" w:cs="Times New Roman"/>
                <w:sz w:val="21"/>
                <w:szCs w:val="21"/>
              </w:rPr>
              <w:t>До ответа заказчик приостанавливает все действия по тендеру.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621" w:type="dxa"/>
          </w:tcPr>
          <w:p>
            <w:pPr>
              <w:pStyle w:val="6"/>
              <w:spacing w:before="0" w:beforeLines="0" w:line="240" w:lineRule="auto"/>
              <w:jc w:val="both"/>
              <w:rPr>
                <w:rFonts w:ascii="楷体" w:hAnsi="楷体" w:eastAsia="楷体"/>
                <w:b w:val="0"/>
                <w:bCs/>
              </w:rPr>
            </w:pPr>
            <w:r>
              <w:rPr>
                <w:rFonts w:hint="eastAsia" w:ascii="楷体" w:hAnsi="楷体" w:eastAsia="楷体"/>
                <w:b w:val="0"/>
                <w:bCs/>
              </w:rPr>
              <w:t>1.22 采购人通过邮件向成交人发出成交通知书。</w:t>
            </w:r>
          </w:p>
        </w:tc>
        <w:tc>
          <w:tcPr>
            <w:tcW w:w="4622" w:type="dxa"/>
          </w:tcPr>
          <w:p>
            <w:pPr>
              <w:spacing w:line="288" w:lineRule="auto"/>
              <w:ind w:firstLine="0" w:firstLineChars="0"/>
              <w:jc w:val="both"/>
              <w:rPr>
                <w:rFonts w:ascii="Times New Roman" w:hAnsi="Times New Roman" w:cs="Times New Roman"/>
                <w:sz w:val="21"/>
                <w:szCs w:val="21"/>
                <w:lang w:val="ru-RU"/>
              </w:rPr>
            </w:pPr>
            <w:r>
              <w:rPr>
                <w:rFonts w:ascii="Times New Roman" w:hAnsi="Times New Roman" w:cs="Times New Roman"/>
                <w:sz w:val="21"/>
                <w:szCs w:val="21"/>
                <w:lang w:val="ru-RU"/>
              </w:rPr>
              <w:t xml:space="preserve">1.22 </w:t>
            </w:r>
            <w:r>
              <w:rPr>
                <w:rFonts w:ascii="Times New Roman" w:hAnsi="Times New Roman" w:cs="Times New Roman"/>
                <w:b/>
                <w:bCs/>
                <w:sz w:val="21"/>
                <w:szCs w:val="21"/>
                <w:lang w:val="ru-RU"/>
              </w:rPr>
              <w:t>Уведомление о победе</w:t>
            </w:r>
            <w:r>
              <w:rPr>
                <w:rFonts w:ascii="Times New Roman" w:hAnsi="Times New Roman" w:cs="Times New Roman"/>
                <w:sz w:val="21"/>
                <w:szCs w:val="21"/>
                <w:lang w:val="ru-RU"/>
              </w:rPr>
              <w:t xml:space="preserve"> будет направлено победителю по электронной почте.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621" w:type="dxa"/>
          </w:tcPr>
          <w:p>
            <w:pPr>
              <w:pStyle w:val="6"/>
              <w:spacing w:before="0" w:beforeLines="0" w:line="240" w:lineRule="auto"/>
              <w:jc w:val="both"/>
              <w:rPr>
                <w:rFonts w:ascii="楷体" w:hAnsi="楷体" w:eastAsia="楷体"/>
                <w:b w:val="0"/>
                <w:bCs/>
              </w:rPr>
            </w:pPr>
            <w:r>
              <w:rPr>
                <w:rFonts w:hint="eastAsia" w:ascii="楷体" w:hAnsi="楷体" w:eastAsia="楷体"/>
                <w:b w:val="0"/>
                <w:bCs/>
              </w:rPr>
              <w:t>1.23 采购人和成交人应当在成交通知书发出之日起30 日内，根据采购文件和成交人的响应文件订立书面合同。成交人无正当理由拒签合同，在签订合同时向采购人提出附加条件，或者不按照采购文件要求提交履约保证金（如有）的，采购人有权取消其成交资格，其响应保证金（如有）不予退还；给采购人造成的损失，成交人还应当对予以赔偿。</w:t>
            </w:r>
          </w:p>
        </w:tc>
        <w:tc>
          <w:tcPr>
            <w:tcW w:w="4622" w:type="dxa"/>
          </w:tcPr>
          <w:p>
            <w:pPr>
              <w:spacing w:line="288" w:lineRule="auto"/>
              <w:ind w:firstLine="0" w:firstLineChars="0"/>
              <w:jc w:val="both"/>
              <w:rPr>
                <w:rFonts w:ascii="Times New Roman" w:hAnsi="Times New Roman" w:cs="Times New Roman"/>
                <w:sz w:val="21"/>
                <w:szCs w:val="21"/>
              </w:rPr>
            </w:pPr>
            <w:r>
              <w:rPr>
                <w:rFonts w:ascii="Times New Roman" w:hAnsi="Times New Roman" w:cs="Times New Roman"/>
                <w:sz w:val="21"/>
                <w:szCs w:val="21"/>
                <w:lang w:val="ru-RU"/>
              </w:rPr>
              <w:t xml:space="preserve">1.23 </w:t>
            </w:r>
            <w:r>
              <w:rPr>
                <w:rFonts w:ascii="Times New Roman" w:hAnsi="Times New Roman" w:cs="Times New Roman"/>
                <w:b/>
                <w:bCs/>
                <w:sz w:val="21"/>
                <w:szCs w:val="21"/>
                <w:lang w:val="ru-RU"/>
              </w:rPr>
              <w:t>Подписание контракта</w:t>
            </w:r>
            <w:r>
              <w:rPr>
                <w:rFonts w:ascii="Times New Roman" w:hAnsi="Times New Roman" w:cs="Times New Roman"/>
                <w:sz w:val="21"/>
                <w:szCs w:val="21"/>
                <w:lang w:val="ru-RU"/>
              </w:rPr>
              <w:t xml:space="preserve">: Заказчик и победитель должны подписать контракт в течение 30 дней с момента получения уведомления о победе, основываясь на закупочных документах и откликах победителя. Если победитель без уважительной причины отказывается подписать контракт, предъявляет дополнительные условия или не предоставляет гарантии (если они требуются), заказчик имеет право аннулировать победу, а гарантийный депозит (если имеется) не будет возвращен. </w:t>
            </w:r>
            <w:r>
              <w:rPr>
                <w:rFonts w:ascii="Times New Roman" w:hAnsi="Times New Roman" w:cs="Times New Roman"/>
                <w:sz w:val="21"/>
                <w:szCs w:val="21"/>
              </w:rPr>
              <w:t>Победитель также обязан компенсировать ущерб, причиненный заказчику.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621" w:type="dxa"/>
          </w:tcPr>
          <w:p>
            <w:pPr>
              <w:pStyle w:val="6"/>
              <w:spacing w:before="0" w:beforeLines="0" w:line="240" w:lineRule="auto"/>
              <w:jc w:val="both"/>
              <w:rPr>
                <w:rFonts w:ascii="楷体" w:hAnsi="楷体" w:eastAsia="楷体"/>
                <w:b w:val="0"/>
                <w:bCs/>
              </w:rPr>
            </w:pPr>
            <w:r>
              <w:rPr>
                <w:rFonts w:hint="eastAsia" w:ascii="楷体" w:hAnsi="楷体" w:eastAsia="楷体"/>
                <w:b w:val="0"/>
                <w:bCs/>
              </w:rPr>
              <w:t>1.24 异议及监督：详见采购公告。</w:t>
            </w:r>
          </w:p>
        </w:tc>
        <w:tc>
          <w:tcPr>
            <w:tcW w:w="4622" w:type="dxa"/>
          </w:tcPr>
          <w:p>
            <w:pPr>
              <w:spacing w:line="288" w:lineRule="auto"/>
              <w:ind w:firstLine="0" w:firstLineChars="0"/>
              <w:jc w:val="both"/>
              <w:rPr>
                <w:rFonts w:ascii="Times New Roman" w:hAnsi="Times New Roman" w:cs="Times New Roman"/>
                <w:sz w:val="21"/>
                <w:szCs w:val="21"/>
                <w:lang w:val="ru-RU"/>
              </w:rPr>
            </w:pPr>
            <w:r>
              <w:rPr>
                <w:rFonts w:ascii="Times New Roman" w:hAnsi="Times New Roman" w:cs="Times New Roman"/>
                <w:sz w:val="21"/>
                <w:szCs w:val="21"/>
                <w:lang w:val="ru-RU"/>
              </w:rPr>
              <w:t xml:space="preserve">1.24 </w:t>
            </w:r>
            <w:r>
              <w:rPr>
                <w:rFonts w:ascii="Times New Roman" w:hAnsi="Times New Roman" w:cs="Times New Roman"/>
                <w:b/>
                <w:bCs/>
                <w:sz w:val="21"/>
                <w:szCs w:val="21"/>
                <w:lang w:val="ru-RU"/>
              </w:rPr>
              <w:t>Возражения и надзор</w:t>
            </w:r>
            <w:r>
              <w:rPr>
                <w:rFonts w:ascii="Times New Roman" w:hAnsi="Times New Roman" w:cs="Times New Roman"/>
                <w:sz w:val="21"/>
                <w:szCs w:val="21"/>
                <w:lang w:val="ru-RU"/>
              </w:rPr>
              <w:t>: См. объявление о закупке.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621" w:type="dxa"/>
          </w:tcPr>
          <w:p>
            <w:pPr>
              <w:pStyle w:val="6"/>
              <w:spacing w:before="0" w:beforeLines="0" w:line="240" w:lineRule="auto"/>
              <w:jc w:val="both"/>
              <w:rPr>
                <w:rFonts w:ascii="楷体" w:hAnsi="楷体" w:eastAsia="楷体"/>
                <w:b w:val="0"/>
                <w:bCs/>
              </w:rPr>
            </w:pPr>
            <w:r>
              <w:rPr>
                <w:rFonts w:hint="eastAsia" w:ascii="楷体" w:hAnsi="楷体" w:eastAsia="楷体"/>
                <w:b w:val="0"/>
                <w:bCs/>
              </w:rPr>
              <w:t>1.25 费用承担：潜在供应商准备和参加响应活动发生的费用自理。供应商应承担其标书的准备与递交等所涉及的在响应过程中所发生的一切费用，不论响应结果如何，采购人对响应费用不负任何责任。</w:t>
            </w:r>
          </w:p>
        </w:tc>
        <w:tc>
          <w:tcPr>
            <w:tcW w:w="4622" w:type="dxa"/>
          </w:tcPr>
          <w:p>
            <w:pPr>
              <w:spacing w:line="288" w:lineRule="auto"/>
              <w:ind w:firstLine="0" w:firstLineChars="0"/>
              <w:jc w:val="both"/>
              <w:rPr>
                <w:rFonts w:ascii="Times New Roman" w:hAnsi="Times New Roman" w:cs="Times New Roman"/>
                <w:sz w:val="21"/>
                <w:szCs w:val="21"/>
              </w:rPr>
            </w:pPr>
            <w:r>
              <w:rPr>
                <w:rFonts w:ascii="Times New Roman" w:hAnsi="Times New Roman" w:cs="Times New Roman"/>
                <w:sz w:val="21"/>
                <w:szCs w:val="21"/>
                <w:lang w:val="ru-RU"/>
              </w:rPr>
              <w:t xml:space="preserve">1.25 </w:t>
            </w:r>
            <w:r>
              <w:rPr>
                <w:rFonts w:ascii="Times New Roman" w:hAnsi="Times New Roman" w:cs="Times New Roman"/>
                <w:b/>
                <w:bCs/>
                <w:sz w:val="21"/>
                <w:szCs w:val="21"/>
                <w:lang w:val="ru-RU"/>
              </w:rPr>
              <w:t>Расходы</w:t>
            </w:r>
            <w:r>
              <w:rPr>
                <w:rFonts w:ascii="Times New Roman" w:hAnsi="Times New Roman" w:cs="Times New Roman"/>
                <w:sz w:val="21"/>
                <w:szCs w:val="21"/>
                <w:lang w:val="ru-RU"/>
              </w:rPr>
              <w:t xml:space="preserve">: Поставщики несут все расходы на подготовку и участие в тендере. Поставщик обязан покрыть все расходы, связанные с подготовкой и подачей своего предложения, независимо от результата тендера. </w:t>
            </w:r>
            <w:r>
              <w:rPr>
                <w:rFonts w:ascii="Times New Roman" w:hAnsi="Times New Roman" w:cs="Times New Roman"/>
                <w:sz w:val="21"/>
                <w:szCs w:val="21"/>
              </w:rPr>
              <w:t>Заказчик не несет ответственности за эти расходы.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621" w:type="dxa"/>
          </w:tcPr>
          <w:p>
            <w:pPr>
              <w:pStyle w:val="6"/>
              <w:spacing w:before="0" w:beforeLines="0" w:line="240" w:lineRule="auto"/>
              <w:jc w:val="both"/>
              <w:rPr>
                <w:rFonts w:ascii="楷体" w:hAnsi="楷体" w:eastAsia="楷体"/>
                <w:b w:val="0"/>
                <w:bCs/>
              </w:rPr>
            </w:pPr>
            <w:r>
              <w:rPr>
                <w:rFonts w:hint="eastAsia" w:ascii="楷体" w:hAnsi="楷体" w:eastAsia="楷体"/>
                <w:b w:val="0"/>
                <w:bCs/>
              </w:rPr>
              <w:t>1.26 保密：参与响应活动的各方应对采购文件和响应文件中的商业和技术等秘密保密，违者应对由此造成的后果承担法律责任。</w:t>
            </w:r>
          </w:p>
        </w:tc>
        <w:tc>
          <w:tcPr>
            <w:tcW w:w="4622" w:type="dxa"/>
          </w:tcPr>
          <w:p>
            <w:pPr>
              <w:spacing w:line="288" w:lineRule="auto"/>
              <w:ind w:firstLine="0" w:firstLineChars="0"/>
              <w:jc w:val="both"/>
              <w:rPr>
                <w:rFonts w:ascii="Times New Roman" w:hAnsi="Times New Roman" w:cs="Times New Roman"/>
                <w:sz w:val="21"/>
                <w:szCs w:val="21"/>
              </w:rPr>
            </w:pPr>
            <w:r>
              <w:rPr>
                <w:rFonts w:ascii="Times New Roman" w:hAnsi="Times New Roman" w:cs="Times New Roman"/>
                <w:sz w:val="21"/>
                <w:szCs w:val="21"/>
                <w:lang w:val="ru-RU"/>
              </w:rPr>
              <w:t xml:space="preserve">1.26 </w:t>
            </w:r>
            <w:r>
              <w:rPr>
                <w:rFonts w:ascii="Times New Roman" w:hAnsi="Times New Roman" w:cs="Times New Roman"/>
                <w:b/>
                <w:bCs/>
                <w:sz w:val="21"/>
                <w:szCs w:val="21"/>
                <w:lang w:val="ru-RU"/>
              </w:rPr>
              <w:t>Конфиденциальность</w:t>
            </w:r>
            <w:r>
              <w:rPr>
                <w:rFonts w:ascii="Times New Roman" w:hAnsi="Times New Roman" w:cs="Times New Roman"/>
                <w:sz w:val="21"/>
                <w:szCs w:val="21"/>
                <w:lang w:val="ru-RU"/>
              </w:rPr>
              <w:t xml:space="preserve">: Все стороны, участвующие в тендере, обязаны сохранять коммерческую и техническую конфиденциальность закупочных документов и откликов. </w:t>
            </w:r>
            <w:r>
              <w:rPr>
                <w:rFonts w:ascii="Times New Roman" w:hAnsi="Times New Roman" w:cs="Times New Roman"/>
                <w:sz w:val="21"/>
                <w:szCs w:val="21"/>
              </w:rPr>
              <w:t>Нарушители несут ответственность за последствия, связанные с раскрытием информации.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621" w:type="dxa"/>
          </w:tcPr>
          <w:p>
            <w:pPr>
              <w:pStyle w:val="6"/>
              <w:spacing w:before="0" w:beforeLines="0" w:line="240" w:lineRule="auto"/>
              <w:jc w:val="both"/>
              <w:rPr>
                <w:rFonts w:ascii="楷体" w:hAnsi="楷体" w:eastAsia="楷体"/>
                <w:b w:val="0"/>
                <w:bCs/>
              </w:rPr>
            </w:pPr>
            <w:r>
              <w:rPr>
                <w:rFonts w:hint="eastAsia" w:ascii="楷体" w:hAnsi="楷体" w:eastAsia="楷体"/>
                <w:b w:val="0"/>
                <w:bCs/>
              </w:rPr>
              <w:t>1.27 语言文字：使用中俄双文对照，若有争议，以中文为准。</w:t>
            </w:r>
          </w:p>
        </w:tc>
        <w:tc>
          <w:tcPr>
            <w:tcW w:w="4622" w:type="dxa"/>
          </w:tcPr>
          <w:p>
            <w:pPr>
              <w:spacing w:line="288" w:lineRule="auto"/>
              <w:ind w:firstLine="0" w:firstLineChars="0"/>
              <w:jc w:val="both"/>
              <w:rPr>
                <w:rFonts w:ascii="Times New Roman" w:hAnsi="Times New Roman" w:cs="Times New Roman"/>
                <w:sz w:val="21"/>
                <w:szCs w:val="21"/>
                <w:highlight w:val="yellow"/>
                <w:lang w:val="ru-RU"/>
              </w:rPr>
            </w:pPr>
            <w:r>
              <w:rPr>
                <w:rFonts w:ascii="Times New Roman" w:hAnsi="Times New Roman" w:cs="Times New Roman"/>
                <w:sz w:val="21"/>
                <w:szCs w:val="21"/>
                <w:lang w:val="ru-RU"/>
              </w:rPr>
              <w:t xml:space="preserve">1.27 </w:t>
            </w:r>
            <w:r>
              <w:rPr>
                <w:rFonts w:ascii="Times New Roman" w:hAnsi="Times New Roman" w:cs="Times New Roman"/>
                <w:b/>
                <w:sz w:val="21"/>
                <w:szCs w:val="21"/>
                <w:lang w:val="ru-RU"/>
              </w:rPr>
              <w:t>Язык документа:</w:t>
            </w:r>
            <w:r>
              <w:rPr>
                <w:rFonts w:ascii="Times New Roman" w:hAnsi="Times New Roman" w:cs="Times New Roman"/>
                <w:sz w:val="21"/>
                <w:szCs w:val="21"/>
                <w:lang w:val="ru-RU"/>
              </w:rPr>
              <w:t xml:space="preserve"> используется двуязычное оформление на китайском и русском языках; в случае расхождений приоритет имеет китайский текст.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621" w:type="dxa"/>
          </w:tcPr>
          <w:p>
            <w:pPr>
              <w:pStyle w:val="6"/>
              <w:spacing w:before="0" w:beforeLines="0" w:line="240" w:lineRule="auto"/>
              <w:jc w:val="both"/>
              <w:rPr>
                <w:rFonts w:ascii="楷体" w:hAnsi="楷体" w:eastAsia="楷体"/>
                <w:b w:val="0"/>
                <w:bCs/>
              </w:rPr>
            </w:pPr>
            <w:r>
              <w:rPr>
                <w:rFonts w:hint="eastAsia" w:ascii="楷体" w:hAnsi="楷体" w:eastAsia="楷体"/>
                <w:b w:val="0"/>
                <w:bCs/>
              </w:rPr>
              <w:t>1.28 报价币种：坚戈。</w:t>
            </w:r>
          </w:p>
        </w:tc>
        <w:tc>
          <w:tcPr>
            <w:tcW w:w="4622" w:type="dxa"/>
          </w:tcPr>
          <w:p>
            <w:pPr>
              <w:spacing w:line="288" w:lineRule="auto"/>
              <w:ind w:firstLine="0" w:firstLineChars="0"/>
              <w:jc w:val="both"/>
              <w:rPr>
                <w:rFonts w:ascii="Times New Roman" w:hAnsi="Times New Roman" w:cs="Times New Roman"/>
                <w:sz w:val="21"/>
                <w:szCs w:val="21"/>
                <w:highlight w:val="yellow"/>
              </w:rPr>
            </w:pPr>
            <w:r>
              <w:rPr>
                <w:rFonts w:ascii="Times New Roman" w:hAnsi="Times New Roman" w:cs="Times New Roman"/>
                <w:b/>
                <w:bCs/>
                <w:kern w:val="2"/>
                <w:sz w:val="21"/>
                <w:szCs w:val="21"/>
              </w:rPr>
              <w:t>1.28 валюта：</w:t>
            </w:r>
            <w:r>
              <w:fldChar w:fldCharType="begin"/>
            </w:r>
            <w:r>
              <w:instrText xml:space="preserve"> HYPERLINK "https://bkrs.info/slovo.php?ch=%D1%82%D0%B5%D0%BD%D0%B3%D0%B5" </w:instrText>
            </w:r>
            <w:r>
              <w:fldChar w:fldCharType="separate"/>
            </w:r>
            <w:r>
              <w:rPr>
                <w:rFonts w:ascii="Times New Roman" w:hAnsi="Times New Roman" w:cs="Times New Roman"/>
                <w:kern w:val="2"/>
                <w:sz w:val="21"/>
                <w:szCs w:val="21"/>
              </w:rPr>
              <w:t>Тенге</w:t>
            </w:r>
            <w:r>
              <w:rPr>
                <w:rFonts w:ascii="Times New Roman" w:hAnsi="Times New Roman" w:cs="Times New Roman"/>
                <w:kern w:val="2"/>
                <w:sz w:val="21"/>
                <w:szCs w:val="21"/>
              </w:rPr>
              <w:fldChar w:fldCharType="end"/>
            </w:r>
            <w:r>
              <w:rPr>
                <w:rFonts w:ascii="Times New Roman" w:hAnsi="Times New Roman" w:cs="Times New Roman"/>
                <w:kern w:val="2"/>
                <w:sz w:val="21"/>
                <w:szCs w:val="21"/>
              </w:rPr>
              <w:t>.</w:t>
            </w:r>
          </w:p>
        </w:tc>
      </w:tr>
    </w:tbl>
    <w:p>
      <w:pPr>
        <w:ind w:firstLine="480"/>
        <w:jc w:val="both"/>
        <w:rPr>
          <w:rFonts w:ascii="Times New Roman" w:hAnsi="Times New Roman" w:cs="Times New Roman"/>
        </w:rPr>
      </w:pPr>
    </w:p>
    <w:p>
      <w:pPr>
        <w:ind w:firstLine="480"/>
        <w:jc w:val="both"/>
        <w:rPr>
          <w:rFonts w:ascii="Times New Roman" w:hAnsi="Times New Roman" w:cs="Times New Roman"/>
        </w:rPr>
      </w:pPr>
    </w:p>
    <w:p>
      <w:pPr>
        <w:ind w:firstLine="480"/>
        <w:jc w:val="both"/>
        <w:rPr>
          <w:rFonts w:ascii="Times New Roman" w:hAnsi="Times New Roman" w:cs="Times New Roman"/>
        </w:rPr>
      </w:pPr>
    </w:p>
    <w:p>
      <w:pPr>
        <w:ind w:firstLine="480"/>
        <w:jc w:val="both"/>
        <w:rPr>
          <w:rFonts w:ascii="Times New Roman" w:hAnsi="Times New Roman" w:cs="Times New Roman"/>
        </w:rPr>
      </w:pPr>
    </w:p>
    <w:bookmarkEnd w:id="34"/>
    <w:bookmarkEnd w:id="35"/>
    <w:bookmarkEnd w:id="36"/>
    <w:bookmarkEnd w:id="37"/>
    <w:bookmarkEnd w:id="38"/>
    <w:bookmarkEnd w:id="39"/>
    <w:bookmarkEnd w:id="40"/>
    <w:bookmarkEnd w:id="41"/>
    <w:p>
      <w:pPr>
        <w:ind w:firstLine="480"/>
        <w:rPr>
          <w:rFonts w:ascii="Times New Roman" w:hAnsi="Times New Roman" w:cs="Times New Roman"/>
          <w:szCs w:val="24"/>
          <w:lang w:eastAsia="zh-CN"/>
        </w:rPr>
        <w:sectPr>
          <w:pgSz w:w="11907" w:h="16839"/>
          <w:pgMar w:top="1797" w:right="1440" w:bottom="1797" w:left="1440" w:header="1021" w:footer="851" w:gutter="0"/>
          <w:cols w:space="720" w:num="1"/>
          <w:docGrid w:linePitch="299" w:charSpace="0"/>
        </w:sectPr>
      </w:pPr>
    </w:p>
    <w:p>
      <w:pPr>
        <w:pStyle w:val="4"/>
        <w:numPr>
          <w:ilvl w:val="0"/>
          <w:numId w:val="1"/>
        </w:numPr>
        <w:ind w:left="0"/>
        <w:rPr>
          <w:rFonts w:ascii="Times New Roman" w:hAnsi="Times New Roman" w:cs="Times New Roman"/>
          <w:lang w:eastAsia="zh-CN"/>
        </w:rPr>
      </w:pPr>
      <w:bookmarkStart w:id="42" w:name="_Toc523252170"/>
      <w:bookmarkStart w:id="43" w:name="_Toc522694204"/>
      <w:bookmarkStart w:id="44" w:name="_Toc10770"/>
      <w:bookmarkStart w:id="45" w:name="_Toc14048"/>
      <w:bookmarkStart w:id="46" w:name="_Toc14206"/>
      <w:bookmarkStart w:id="47" w:name="_Toc21405"/>
      <w:bookmarkStart w:id="48" w:name="_Toc21158"/>
      <w:bookmarkStart w:id="49" w:name="_Toc25941"/>
      <w:bookmarkStart w:id="50" w:name="_Toc3474875"/>
      <w:bookmarkStart w:id="51" w:name="_Toc6874"/>
      <w:r>
        <w:rPr>
          <w:rFonts w:hint="eastAsia" w:ascii="Times New Roman" w:hAnsi="Times New Roman" w:cs="Times New Roman"/>
          <w:lang w:eastAsia="zh-CN"/>
        </w:rPr>
        <w:t xml:space="preserve"> </w:t>
      </w:r>
      <w:r>
        <w:rPr>
          <w:rFonts w:ascii="Times New Roman" w:hAnsi="Times New Roman" w:cs="Times New Roman"/>
          <w:lang w:eastAsia="zh-CN"/>
        </w:rPr>
        <w:t>评审办法</w:t>
      </w:r>
      <w:bookmarkEnd w:id="42"/>
      <w:bookmarkEnd w:id="43"/>
      <w:bookmarkEnd w:id="44"/>
      <w:bookmarkEnd w:id="45"/>
      <w:bookmarkEnd w:id="46"/>
      <w:bookmarkEnd w:id="47"/>
      <w:bookmarkEnd w:id="48"/>
      <w:bookmarkEnd w:id="49"/>
      <w:bookmarkEnd w:id="50"/>
      <w:bookmarkEnd w:id="51"/>
    </w:p>
    <w:p>
      <w:pPr>
        <w:ind w:firstLine="0" w:firstLineChars="0"/>
        <w:jc w:val="center"/>
        <w:rPr>
          <w:rFonts w:ascii="Times New Roman" w:hAnsi="Times New Roman" w:cs="Times New Roman"/>
          <w:b/>
          <w:bCs/>
          <w:sz w:val="36"/>
          <w:szCs w:val="32"/>
          <w:lang w:eastAsia="zh-CN"/>
        </w:rPr>
      </w:pPr>
      <w:r>
        <w:rPr>
          <w:rFonts w:ascii="Times New Roman" w:hAnsi="Times New Roman" w:cs="Times New Roman"/>
          <w:b/>
          <w:bCs/>
          <w:sz w:val="36"/>
          <w:szCs w:val="32"/>
          <w:lang w:eastAsia="zh-CN"/>
        </w:rPr>
        <w:t>Глава 3. Методика оценки</w:t>
      </w:r>
    </w:p>
    <w:p>
      <w:pPr>
        <w:pStyle w:val="5"/>
        <w:spacing w:before="120" w:beforeLines="0"/>
        <w:jc w:val="both"/>
        <w:rPr>
          <w:rFonts w:ascii="Times New Roman" w:hAnsi="Times New Roman" w:cs="Times New Roman"/>
        </w:rPr>
      </w:pPr>
      <w:bookmarkStart w:id="52" w:name="_Toc14573"/>
      <w:bookmarkStart w:id="53" w:name="_Toc3474876"/>
      <w:bookmarkStart w:id="54" w:name="_Toc15637"/>
      <w:bookmarkStart w:id="55" w:name="_Toc30583"/>
      <w:bookmarkStart w:id="56" w:name="_Toc522694205"/>
      <w:bookmarkStart w:id="57" w:name="_Toc523252171"/>
      <w:bookmarkStart w:id="58" w:name="_Toc27225"/>
      <w:bookmarkStart w:id="59" w:name="_Toc6680"/>
      <w:bookmarkStart w:id="60" w:name="_Toc19905"/>
      <w:bookmarkStart w:id="61" w:name="_Toc32678"/>
      <w:r>
        <w:rPr>
          <w:rFonts w:hint="eastAsia" w:ascii="Times New Roman" w:hAnsi="Times New Roman" w:cs="Times New Roman"/>
        </w:rPr>
        <w:t>1.</w:t>
      </w:r>
      <w:r>
        <w:rPr>
          <w:rFonts w:ascii="Times New Roman" w:hAnsi="Times New Roman" w:cs="Times New Roman"/>
        </w:rPr>
        <w:t>评审办法前附表</w:t>
      </w:r>
      <w:bookmarkEnd w:id="52"/>
      <w:bookmarkEnd w:id="53"/>
      <w:bookmarkEnd w:id="54"/>
      <w:bookmarkEnd w:id="55"/>
      <w:bookmarkEnd w:id="56"/>
      <w:bookmarkEnd w:id="57"/>
      <w:bookmarkEnd w:id="58"/>
      <w:bookmarkEnd w:id="59"/>
      <w:bookmarkEnd w:id="60"/>
      <w:bookmarkEnd w:id="61"/>
      <w:r>
        <w:rPr>
          <w:rFonts w:hint="eastAsia" w:ascii="Times New Roman" w:hAnsi="Times New Roman" w:cs="Times New Roman"/>
        </w:rPr>
        <w:t>（1.</w:t>
      </w:r>
      <w:r>
        <w:rPr>
          <w:rFonts w:ascii="Times New Roman" w:hAnsi="Times New Roman" w:cs="Times New Roman"/>
        </w:rPr>
        <w:t>Приложение к методике оценки</w:t>
      </w:r>
      <w:r>
        <w:rPr>
          <w:rFonts w:hint="eastAsia" w:ascii="Times New Roman" w:hAnsi="Times New Roman" w:cs="Times New Roman"/>
        </w:rPr>
        <w:t>）</w:t>
      </w:r>
    </w:p>
    <w:tbl>
      <w:tblPr>
        <w:tblStyle w:val="23"/>
        <w:tblW w:w="969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47"/>
        <w:gridCol w:w="48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blHeader/>
          <w:jc w:val="center"/>
        </w:trPr>
        <w:tc>
          <w:tcPr>
            <w:tcW w:w="4847" w:type="dxa"/>
            <w:tcMar>
              <w:top w:w="0" w:type="dxa"/>
              <w:left w:w="28" w:type="dxa"/>
              <w:bottom w:w="0" w:type="dxa"/>
              <w:right w:w="28" w:type="dxa"/>
            </w:tcMar>
            <w:vAlign w:val="center"/>
          </w:tcPr>
          <w:p>
            <w:pPr>
              <w:pStyle w:val="39"/>
              <w:widowControl w:val="0"/>
              <w:adjustRightInd w:val="0"/>
              <w:snapToGrid w:val="0"/>
              <w:jc w:val="center"/>
              <w:rPr>
                <w:rFonts w:hint="default" w:ascii="Times New Roman" w:hAnsi="Times New Roman" w:eastAsia="楷体" w:cs="Times New Roman"/>
                <w:sz w:val="24"/>
                <w:szCs w:val="24"/>
                <w:lang w:eastAsia="zh-CN"/>
              </w:rPr>
            </w:pPr>
            <w:bookmarkStart w:id="117" w:name="_GoBack" w:colFirst="0" w:colLast="1"/>
            <w:r>
              <w:rPr>
                <w:rFonts w:hint="default" w:ascii="Times New Roman" w:hAnsi="Times New Roman" w:eastAsia="楷体" w:cs="Times New Roman"/>
                <w:sz w:val="24"/>
                <w:szCs w:val="24"/>
                <w:lang w:eastAsia="zh-CN"/>
              </w:rPr>
              <w:t>评审内容及标准</w:t>
            </w:r>
          </w:p>
        </w:tc>
        <w:tc>
          <w:tcPr>
            <w:tcW w:w="4847" w:type="dxa"/>
            <w:tcMar>
              <w:top w:w="0" w:type="dxa"/>
              <w:left w:w="28" w:type="dxa"/>
              <w:bottom w:w="0" w:type="dxa"/>
              <w:right w:w="28" w:type="dxa"/>
            </w:tcMar>
            <w:vAlign w:val="center"/>
          </w:tcPr>
          <w:p>
            <w:pPr>
              <w:pStyle w:val="39"/>
              <w:widowControl w:val="0"/>
              <w:adjustRightInd w:val="0"/>
              <w:snapToGrid w:val="0"/>
              <w:spacing w:line="240" w:lineRule="auto"/>
              <w:jc w:val="center"/>
              <w:rPr>
                <w:rFonts w:hint="default" w:ascii="Times New Roman" w:hAnsi="Times New Roman" w:eastAsia="黑体" w:cs="Times New Roman"/>
                <w:sz w:val="24"/>
                <w:szCs w:val="24"/>
                <w:lang w:eastAsia="zh-CN"/>
              </w:rPr>
            </w:pPr>
            <w:r>
              <w:rPr>
                <w:rFonts w:hint="default" w:ascii="Times New Roman" w:hAnsi="Times New Roman" w:eastAsia="Segoe UI" w:cs="Times New Roman"/>
                <w:i w:val="0"/>
                <w:caps w:val="0"/>
                <w:spacing w:val="0"/>
                <w:sz w:val="24"/>
                <w:szCs w:val="24"/>
                <w:shd w:val="clear" w:fill="FFFFFF"/>
              </w:rPr>
              <w:t>Содержание и критерии оценки</w:t>
            </w:r>
          </w:p>
        </w:tc>
      </w:tr>
      <w:bookmarkEnd w:id="117"/>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4847" w:type="dxa"/>
            <w:tcMar>
              <w:top w:w="0" w:type="dxa"/>
              <w:left w:w="28" w:type="dxa"/>
              <w:bottom w:w="0" w:type="dxa"/>
              <w:right w:w="28" w:type="dxa"/>
            </w:tcMar>
            <w:vAlign w:val="center"/>
          </w:tcPr>
          <w:p>
            <w:pPr>
              <w:pStyle w:val="39"/>
              <w:widowControl w:val="0"/>
              <w:adjustRightInd w:val="0"/>
              <w:snapToGrid w:val="0"/>
              <w:jc w:val="both"/>
              <w:rPr>
                <w:rFonts w:ascii="楷体" w:hAnsi="楷体" w:eastAsia="楷体" w:cs="宋体"/>
                <w:sz w:val="24"/>
                <w:szCs w:val="24"/>
                <w:lang w:eastAsia="zh-CN"/>
              </w:rPr>
            </w:pPr>
            <w:r>
              <w:rPr>
                <w:rFonts w:hint="eastAsia" w:ascii="楷体" w:hAnsi="楷体" w:eastAsia="楷体" w:cs="宋体"/>
                <w:b/>
                <w:bCs/>
                <w:sz w:val="24"/>
                <w:szCs w:val="24"/>
                <w:lang w:eastAsia="zh-CN"/>
              </w:rPr>
              <w:t>1.预成交供应商推荐原则</w:t>
            </w:r>
          </w:p>
        </w:tc>
        <w:tc>
          <w:tcPr>
            <w:tcW w:w="4847" w:type="dxa"/>
            <w:tcMar>
              <w:top w:w="0" w:type="dxa"/>
              <w:left w:w="28" w:type="dxa"/>
              <w:bottom w:w="0" w:type="dxa"/>
              <w:right w:w="28" w:type="dxa"/>
            </w:tcMar>
            <w:vAlign w:val="center"/>
          </w:tcPr>
          <w:p>
            <w:pPr>
              <w:pStyle w:val="39"/>
              <w:widowControl w:val="0"/>
              <w:adjustRightInd w:val="0"/>
              <w:snapToGrid w:val="0"/>
              <w:spacing w:line="240" w:lineRule="auto"/>
              <w:rPr>
                <w:rFonts w:ascii="Times New Roman" w:hAnsi="Times New Roman"/>
                <w:sz w:val="24"/>
                <w:szCs w:val="24"/>
                <w:lang w:val="ru-RU" w:eastAsia="zh-CN"/>
              </w:rPr>
            </w:pPr>
            <w:r>
              <w:rPr>
                <w:rFonts w:ascii="Times New Roman" w:hAnsi="Times New Roman"/>
                <w:b/>
                <w:bCs/>
                <w:sz w:val="24"/>
                <w:szCs w:val="24"/>
                <w:lang w:val="ru-RU" w:eastAsia="zh-CN"/>
              </w:rPr>
              <w:t>1.Принципы рекомендации поставщика для предварительного заключения контракта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4847" w:type="dxa"/>
            <w:tcMar>
              <w:top w:w="0" w:type="dxa"/>
              <w:left w:w="28" w:type="dxa"/>
              <w:bottom w:w="0" w:type="dxa"/>
              <w:right w:w="28" w:type="dxa"/>
            </w:tcMar>
            <w:vAlign w:val="center"/>
          </w:tcPr>
          <w:p>
            <w:pPr>
              <w:pStyle w:val="39"/>
              <w:widowControl w:val="0"/>
              <w:adjustRightInd w:val="0"/>
              <w:snapToGrid w:val="0"/>
              <w:rPr>
                <w:rFonts w:ascii="楷体" w:hAnsi="楷体" w:eastAsia="楷体" w:cs="宋体"/>
                <w:sz w:val="24"/>
                <w:szCs w:val="24"/>
                <w:highlight w:val="yellow"/>
                <w:lang w:eastAsia="zh-CN"/>
              </w:rPr>
            </w:pPr>
            <w:r>
              <w:rPr>
                <w:rFonts w:hint="eastAsia" w:ascii="楷体" w:hAnsi="楷体" w:eastAsia="楷体"/>
                <w:sz w:val="24"/>
                <w:szCs w:val="24"/>
                <w:lang w:eastAsia="zh-CN"/>
              </w:rPr>
              <w:t>1.1</w:t>
            </w:r>
            <w:r>
              <w:rPr>
                <w:rFonts w:hint="eastAsia" w:ascii="楷体" w:hAnsi="楷体" w:eastAsia="楷体"/>
                <w:sz w:val="24"/>
                <w:szCs w:val="24"/>
                <w:lang w:val="en-US" w:eastAsia="zh-CN"/>
              </w:rPr>
              <w:t>经评审的最低价法：</w:t>
            </w:r>
            <w:r>
              <w:rPr>
                <w:rFonts w:hint="eastAsia" w:ascii="楷体" w:hAnsi="楷体" w:eastAsia="楷体"/>
                <w:sz w:val="24"/>
                <w:szCs w:val="24"/>
                <w:lang w:eastAsia="zh-CN"/>
              </w:rPr>
              <w:t>直采供应商的报价（含一轮或多轮谈判后的价格）应低于项目预算价格（低于成本价除外），以确定供应商是否可用再予以推荐。</w:t>
            </w:r>
          </w:p>
        </w:tc>
        <w:tc>
          <w:tcPr>
            <w:tcW w:w="4847" w:type="dxa"/>
            <w:tcMar>
              <w:top w:w="0" w:type="dxa"/>
              <w:left w:w="28" w:type="dxa"/>
              <w:bottom w:w="0" w:type="dxa"/>
              <w:right w:w="28" w:type="dxa"/>
            </w:tcMar>
            <w:vAlign w:val="center"/>
          </w:tcPr>
          <w:p>
            <w:pPr>
              <w:spacing w:line="240" w:lineRule="auto"/>
              <w:ind w:firstLine="0" w:firstLineChars="0"/>
              <w:rPr>
                <w:rFonts w:ascii="Times New Roman" w:hAnsi="Times New Roman" w:cs="Times New Roman"/>
                <w:sz w:val="24"/>
                <w:szCs w:val="24"/>
                <w:highlight w:val="yellow"/>
                <w:lang w:val="ru-RU" w:eastAsia="zh-CN"/>
              </w:rPr>
            </w:pPr>
            <w:r>
              <w:rPr>
                <w:rFonts w:ascii="Times New Roman" w:hAnsi="Times New Roman" w:cs="Times New Roman"/>
                <w:sz w:val="24"/>
                <w:szCs w:val="24"/>
                <w:lang w:val="ru-RU"/>
              </w:rPr>
              <w:t xml:space="preserve">1.1 </w:t>
            </w:r>
            <w:r>
              <w:rPr>
                <w:rFonts w:hint="default" w:ascii="Times New Roman" w:hAnsi="Times New Roman" w:eastAsia="Segoe UI" w:cs="Times New Roman"/>
                <w:i w:val="0"/>
                <w:caps w:val="0"/>
                <w:spacing w:val="0"/>
                <w:sz w:val="24"/>
                <w:szCs w:val="24"/>
                <w:shd w:val="clear" w:fill="FFFFFF"/>
              </w:rPr>
              <w:t>метод проверенной минимальной цены</w:t>
            </w:r>
            <w:r>
              <w:rPr>
                <w:rFonts w:hint="default" w:ascii="Times New Roman" w:hAnsi="Times New Roman" w:cs="Times New Roman"/>
                <w:i w:val="0"/>
                <w:caps w:val="0"/>
                <w:spacing w:val="0"/>
                <w:sz w:val="24"/>
                <w:szCs w:val="24"/>
                <w:shd w:val="clear" w:fill="FFFFFF"/>
                <w:lang w:eastAsia="zh-CN"/>
              </w:rPr>
              <w:t>：</w:t>
            </w:r>
            <w:r>
              <w:rPr>
                <w:rFonts w:ascii="Times New Roman" w:hAnsi="Times New Roman" w:cs="Times New Roman"/>
                <w:sz w:val="24"/>
                <w:szCs w:val="24"/>
                <w:lang w:val="ru-RU"/>
              </w:rPr>
              <w:t>Цена предложения поставщика при прямой закупке (включая цену после одного или нескольких раундов переговоров) должна быть ниже бюджетной стоимости проекта (за исключением случаев, когда цена ниже себестоимости), чтобы определить, является ли поставщик приемлемым для дальнейшей рекомендации.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4847" w:type="dxa"/>
            <w:tcMar>
              <w:top w:w="0" w:type="dxa"/>
              <w:left w:w="28" w:type="dxa"/>
              <w:bottom w:w="0" w:type="dxa"/>
              <w:right w:w="28" w:type="dxa"/>
            </w:tcMar>
            <w:vAlign w:val="center"/>
          </w:tcPr>
          <w:p>
            <w:pPr>
              <w:pStyle w:val="39"/>
              <w:widowControl w:val="0"/>
              <w:adjustRightInd w:val="0"/>
              <w:snapToGrid w:val="0"/>
              <w:rPr>
                <w:rFonts w:ascii="楷体" w:hAnsi="楷体" w:eastAsia="楷体"/>
                <w:sz w:val="24"/>
                <w:szCs w:val="24"/>
                <w:highlight w:val="yellow"/>
                <w:lang w:eastAsia="zh-CN"/>
              </w:rPr>
            </w:pPr>
            <w:r>
              <w:rPr>
                <w:rFonts w:hint="eastAsia" w:ascii="楷体" w:hAnsi="楷体" w:eastAsia="楷体" w:cs="宋体"/>
                <w:sz w:val="24"/>
                <w:szCs w:val="24"/>
                <w:lang w:eastAsia="zh-CN" w:bidi="ar"/>
              </w:rPr>
              <w:t>1.2本评审采用受邀请参加直接采购的供应商资格审查、符合性审查通过后，多轮谈判确定采购价格的办法。</w:t>
            </w:r>
          </w:p>
        </w:tc>
        <w:tc>
          <w:tcPr>
            <w:tcW w:w="4847" w:type="dxa"/>
            <w:tcMar>
              <w:top w:w="0" w:type="dxa"/>
              <w:left w:w="28" w:type="dxa"/>
              <w:bottom w:w="0" w:type="dxa"/>
              <w:right w:w="28" w:type="dxa"/>
            </w:tcMar>
            <w:vAlign w:val="center"/>
          </w:tcPr>
          <w:p>
            <w:pPr>
              <w:pStyle w:val="2"/>
              <w:spacing w:after="0" w:line="240" w:lineRule="auto"/>
              <w:ind w:left="0" w:leftChars="0" w:firstLine="0" w:firstLineChars="0"/>
              <w:jc w:val="both"/>
              <w:rPr>
                <w:rFonts w:ascii="Times New Roman" w:hAnsi="Times New Roman"/>
                <w:sz w:val="24"/>
                <w:szCs w:val="24"/>
                <w:lang w:val="ru-RU" w:eastAsia="zh-CN"/>
              </w:rPr>
            </w:pPr>
            <w:r>
              <w:rPr>
                <w:rFonts w:hint="eastAsia" w:ascii="Times New Roman" w:hAnsi="Times New Roman"/>
                <w:sz w:val="24"/>
                <w:szCs w:val="24"/>
                <w:lang w:val="ru-RU" w:eastAsia="zh-CN"/>
              </w:rPr>
              <w:t xml:space="preserve">1.2 </w:t>
            </w:r>
            <w:r>
              <w:rPr>
                <w:rFonts w:ascii="Times New Roman" w:hAnsi="Times New Roman"/>
                <w:sz w:val="24"/>
                <w:szCs w:val="24"/>
                <w:lang w:val="ru-RU" w:eastAsia="zh-CN"/>
              </w:rPr>
              <w:t>В рамках оценки применяется методика: предварительный отбор приглашенных поставщиков, проверка соответствия, проведение нескольких раундов переговоров для определения закупочной цены.</w:t>
            </w:r>
          </w:p>
          <w:p>
            <w:pPr>
              <w:spacing w:line="240" w:lineRule="auto"/>
              <w:ind w:firstLine="0" w:firstLineChars="0"/>
              <w:rPr>
                <w:rFonts w:ascii="Times New Roman" w:hAnsi="Times New Roman" w:cs="Times New Roman"/>
                <w:sz w:val="24"/>
                <w:szCs w:val="24"/>
                <w:highlight w:val="yellow"/>
                <w:lang w:val="ru-R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9" w:hRule="atLeast"/>
          <w:jc w:val="center"/>
        </w:trPr>
        <w:tc>
          <w:tcPr>
            <w:tcW w:w="4847" w:type="dxa"/>
            <w:tcMar>
              <w:top w:w="0" w:type="dxa"/>
              <w:left w:w="28" w:type="dxa"/>
              <w:bottom w:w="0" w:type="dxa"/>
              <w:right w:w="28" w:type="dxa"/>
            </w:tcMar>
            <w:vAlign w:val="center"/>
          </w:tcPr>
          <w:p>
            <w:pPr>
              <w:ind w:firstLine="0" w:firstLineChars="0"/>
              <w:rPr>
                <w:rFonts w:ascii="楷体" w:hAnsi="楷体" w:eastAsia="楷体"/>
                <w:sz w:val="24"/>
                <w:szCs w:val="24"/>
              </w:rPr>
            </w:pPr>
            <w:r>
              <w:rPr>
                <w:rFonts w:hint="eastAsia" w:ascii="楷体" w:hAnsi="楷体" w:eastAsia="楷体"/>
                <w:b/>
                <w:bCs/>
                <w:sz w:val="24"/>
                <w:szCs w:val="24"/>
              </w:rPr>
              <w:t>2.形式评审标准</w:t>
            </w:r>
          </w:p>
        </w:tc>
        <w:tc>
          <w:tcPr>
            <w:tcW w:w="4847" w:type="dxa"/>
            <w:tcMar>
              <w:top w:w="0" w:type="dxa"/>
              <w:left w:w="28" w:type="dxa"/>
              <w:bottom w:w="0" w:type="dxa"/>
              <w:right w:w="28" w:type="dxa"/>
            </w:tcMar>
            <w:vAlign w:val="center"/>
          </w:tcPr>
          <w:p>
            <w:pPr>
              <w:spacing w:line="240" w:lineRule="auto"/>
              <w:ind w:firstLine="0" w:firstLineChars="0"/>
              <w:rPr>
                <w:rFonts w:ascii="Times New Roman" w:hAnsi="Times New Roman" w:cs="Times New Roman"/>
                <w:sz w:val="24"/>
                <w:szCs w:val="24"/>
              </w:rPr>
            </w:pPr>
            <w:r>
              <w:rPr>
                <w:rFonts w:ascii="Times New Roman" w:hAnsi="Times New Roman" w:cs="Times New Roman"/>
                <w:b/>
                <w:bCs/>
                <w:sz w:val="24"/>
                <w:szCs w:val="24"/>
              </w:rPr>
              <w:t>2.Стандарты формальной оценки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9" w:hRule="atLeast"/>
          <w:jc w:val="center"/>
        </w:trPr>
        <w:tc>
          <w:tcPr>
            <w:tcW w:w="4847" w:type="dxa"/>
            <w:tcMar>
              <w:top w:w="0" w:type="dxa"/>
              <w:left w:w="28" w:type="dxa"/>
              <w:bottom w:w="0" w:type="dxa"/>
              <w:right w:w="28" w:type="dxa"/>
            </w:tcMar>
            <w:vAlign w:val="center"/>
          </w:tcPr>
          <w:p>
            <w:pPr>
              <w:ind w:left="105" w:hanging="120" w:hangingChars="50"/>
              <w:rPr>
                <w:rFonts w:ascii="楷体" w:hAnsi="楷体" w:eastAsia="楷体"/>
                <w:sz w:val="24"/>
                <w:szCs w:val="24"/>
                <w:highlight w:val="yellow"/>
                <w:lang w:eastAsia="zh-CN"/>
              </w:rPr>
            </w:pPr>
            <w:r>
              <w:rPr>
                <w:rFonts w:hint="eastAsia" w:ascii="楷体" w:hAnsi="楷体" w:eastAsia="楷体"/>
                <w:sz w:val="24"/>
                <w:szCs w:val="24"/>
                <w:lang w:eastAsia="zh-CN" w:bidi="ar"/>
              </w:rPr>
              <w:t>2.1供应商名称：</w:t>
            </w:r>
            <w:r>
              <w:rPr>
                <w:rFonts w:hint="eastAsia" w:ascii="楷体" w:hAnsi="楷体" w:eastAsia="楷体"/>
                <w:sz w:val="24"/>
                <w:szCs w:val="24"/>
                <w:lang w:eastAsia="zh-CN"/>
              </w:rPr>
              <w:t>与营业执照、资质证书、一致</w:t>
            </w:r>
          </w:p>
        </w:tc>
        <w:tc>
          <w:tcPr>
            <w:tcW w:w="4847" w:type="dxa"/>
            <w:tcMar>
              <w:top w:w="0" w:type="dxa"/>
              <w:left w:w="28" w:type="dxa"/>
              <w:bottom w:w="0" w:type="dxa"/>
              <w:right w:w="28" w:type="dxa"/>
            </w:tcMar>
            <w:vAlign w:val="center"/>
          </w:tcPr>
          <w:p>
            <w:pPr>
              <w:spacing w:line="240" w:lineRule="auto"/>
              <w:ind w:firstLine="0" w:firstLineChars="0"/>
              <w:rPr>
                <w:rFonts w:ascii="Times New Roman" w:hAnsi="Times New Roman" w:cs="Times New Roman"/>
                <w:sz w:val="24"/>
                <w:szCs w:val="24"/>
                <w:highlight w:val="yellow"/>
                <w:lang w:val="ru-RU" w:bidi="ar"/>
              </w:rPr>
            </w:pPr>
            <w:r>
              <w:rPr>
                <w:rFonts w:ascii="Times New Roman" w:hAnsi="Times New Roman" w:cs="Times New Roman"/>
                <w:sz w:val="24"/>
                <w:szCs w:val="24"/>
                <w:lang w:val="ru-RU"/>
              </w:rPr>
              <w:t>1. Название поставщика: должно совпадать с названием в свидетельстве о регистрации, квалификационном свидетельстве и подтверждающих документах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9" w:hRule="atLeast"/>
          <w:jc w:val="center"/>
        </w:trPr>
        <w:tc>
          <w:tcPr>
            <w:tcW w:w="4847" w:type="dxa"/>
            <w:tcMar>
              <w:top w:w="0" w:type="dxa"/>
              <w:left w:w="28" w:type="dxa"/>
              <w:bottom w:w="0" w:type="dxa"/>
              <w:right w:w="28" w:type="dxa"/>
            </w:tcMar>
            <w:vAlign w:val="center"/>
          </w:tcPr>
          <w:p>
            <w:pPr>
              <w:ind w:firstLine="0" w:firstLineChars="0"/>
              <w:rPr>
                <w:rFonts w:ascii="楷体" w:hAnsi="楷体" w:eastAsia="楷体"/>
                <w:sz w:val="24"/>
                <w:szCs w:val="24"/>
                <w:lang w:eastAsia="zh-CN"/>
              </w:rPr>
            </w:pPr>
            <w:r>
              <w:rPr>
                <w:rFonts w:hint="eastAsia" w:ascii="楷体" w:hAnsi="楷体" w:eastAsia="楷体"/>
                <w:sz w:val="24"/>
                <w:szCs w:val="24"/>
                <w:lang w:eastAsia="zh-CN"/>
              </w:rPr>
              <w:t>2.2响应文件格式：符合“响应文件格式”的规定</w:t>
            </w:r>
          </w:p>
        </w:tc>
        <w:tc>
          <w:tcPr>
            <w:tcW w:w="4847" w:type="dxa"/>
            <w:tcMar>
              <w:top w:w="0" w:type="dxa"/>
              <w:left w:w="28" w:type="dxa"/>
              <w:bottom w:w="0" w:type="dxa"/>
              <w:right w:w="28" w:type="dxa"/>
            </w:tcMar>
            <w:vAlign w:val="center"/>
          </w:tcPr>
          <w:p>
            <w:pPr>
              <w:spacing w:line="240" w:lineRule="auto"/>
              <w:ind w:firstLine="0" w:firstLineChars="0"/>
              <w:rPr>
                <w:rFonts w:ascii="Times New Roman" w:hAnsi="Times New Roman" w:cs="Times New Roman"/>
                <w:sz w:val="24"/>
                <w:szCs w:val="24"/>
                <w:lang w:val="ru-RU"/>
              </w:rPr>
            </w:pPr>
            <w:r>
              <w:rPr>
                <w:rFonts w:ascii="Times New Roman" w:hAnsi="Times New Roman" w:cs="Times New Roman"/>
                <w:sz w:val="24"/>
                <w:szCs w:val="24"/>
                <w:lang w:val="ru-RU"/>
              </w:rPr>
              <w:t>2.2  Формат конкурсной документации: должен соответствовать требованиям, установленным в разделе «Формат конкурсной документации».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9" w:hRule="atLeast"/>
          <w:jc w:val="center"/>
        </w:trPr>
        <w:tc>
          <w:tcPr>
            <w:tcW w:w="4847" w:type="dxa"/>
            <w:tcMar>
              <w:top w:w="0" w:type="dxa"/>
              <w:left w:w="28" w:type="dxa"/>
              <w:bottom w:w="0" w:type="dxa"/>
              <w:right w:w="28" w:type="dxa"/>
            </w:tcMar>
            <w:vAlign w:val="center"/>
          </w:tcPr>
          <w:p>
            <w:pPr>
              <w:ind w:firstLine="0" w:firstLineChars="0"/>
              <w:rPr>
                <w:rFonts w:ascii="楷体" w:hAnsi="楷体" w:eastAsia="楷体"/>
                <w:sz w:val="24"/>
                <w:szCs w:val="24"/>
                <w:highlight w:val="yellow"/>
                <w:lang w:eastAsia="zh-CN"/>
              </w:rPr>
            </w:pPr>
            <w:r>
              <w:rPr>
                <w:rFonts w:hint="eastAsia" w:ascii="楷体" w:hAnsi="楷体" w:eastAsia="楷体"/>
                <w:sz w:val="24"/>
                <w:szCs w:val="24"/>
                <w:lang w:eastAsia="zh-CN"/>
              </w:rPr>
              <w:t>2.3备选投标方案：</w:t>
            </w:r>
            <w:r>
              <w:rPr>
                <w:rFonts w:hint="eastAsia" w:ascii="楷体" w:hAnsi="楷体" w:eastAsia="楷体"/>
                <w:sz w:val="24"/>
                <w:szCs w:val="24"/>
                <w:lang w:eastAsia="zh-CN" w:bidi="en-US"/>
              </w:rPr>
              <w:t>除招标文件明确允许提交备选投标方案外，供应商不得提交备选投标方案</w:t>
            </w:r>
          </w:p>
        </w:tc>
        <w:tc>
          <w:tcPr>
            <w:tcW w:w="4847" w:type="dxa"/>
            <w:tcMar>
              <w:top w:w="0" w:type="dxa"/>
              <w:left w:w="28" w:type="dxa"/>
              <w:bottom w:w="0" w:type="dxa"/>
              <w:right w:w="28" w:type="dxa"/>
            </w:tcMar>
            <w:vAlign w:val="center"/>
          </w:tcPr>
          <w:p>
            <w:pPr>
              <w:spacing w:line="240" w:lineRule="auto"/>
              <w:ind w:firstLine="0" w:firstLineChars="0"/>
              <w:rPr>
                <w:rFonts w:ascii="Times New Roman" w:hAnsi="Times New Roman" w:cs="Times New Roman"/>
                <w:sz w:val="24"/>
                <w:szCs w:val="24"/>
                <w:highlight w:val="yellow"/>
                <w:lang w:val="ru-RU"/>
              </w:rPr>
            </w:pPr>
            <w:r>
              <w:rPr>
                <w:rFonts w:ascii="Times New Roman" w:hAnsi="Times New Roman" w:cs="Times New Roman"/>
                <w:b/>
                <w:bCs/>
                <w:sz w:val="24"/>
                <w:szCs w:val="24"/>
                <w:lang w:val="ru-RU"/>
              </w:rPr>
              <w:t>Альтернативные тендерные предложения:</w:t>
            </w:r>
            <w:r>
              <w:rPr>
                <w:rFonts w:ascii="Times New Roman" w:hAnsi="Times New Roman" w:cs="Times New Roman"/>
                <w:sz w:val="24"/>
                <w:szCs w:val="24"/>
                <w:lang w:val="ru-RU"/>
              </w:rPr>
              <w:t xml:space="preserve"> кроме случаев, когда в тендерной документации явно разрешено представлять альтернативные предложения, поставщики не имеют права подавать альтернативные тендерные предложения.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9" w:hRule="atLeast"/>
          <w:jc w:val="center"/>
        </w:trPr>
        <w:tc>
          <w:tcPr>
            <w:tcW w:w="4847" w:type="dxa"/>
            <w:tcMar>
              <w:top w:w="0" w:type="dxa"/>
              <w:left w:w="28" w:type="dxa"/>
              <w:bottom w:w="0" w:type="dxa"/>
              <w:right w:w="28" w:type="dxa"/>
            </w:tcMar>
            <w:vAlign w:val="center"/>
          </w:tcPr>
          <w:p>
            <w:pPr>
              <w:ind w:firstLine="0" w:firstLineChars="0"/>
              <w:rPr>
                <w:rFonts w:ascii="楷体" w:hAnsi="楷体" w:eastAsia="楷体"/>
                <w:sz w:val="24"/>
                <w:szCs w:val="24"/>
              </w:rPr>
            </w:pPr>
            <w:r>
              <w:rPr>
                <w:rFonts w:hint="eastAsia" w:ascii="楷体" w:hAnsi="楷体" w:eastAsia="楷体"/>
                <w:b/>
                <w:bCs/>
                <w:sz w:val="24"/>
                <w:szCs w:val="24"/>
              </w:rPr>
              <w:t>3.资格评审标准</w:t>
            </w:r>
          </w:p>
        </w:tc>
        <w:tc>
          <w:tcPr>
            <w:tcW w:w="4847" w:type="dxa"/>
            <w:tcMar>
              <w:top w:w="0" w:type="dxa"/>
              <w:left w:w="28" w:type="dxa"/>
              <w:bottom w:w="0" w:type="dxa"/>
              <w:right w:w="28" w:type="dxa"/>
            </w:tcMar>
            <w:vAlign w:val="center"/>
          </w:tcPr>
          <w:p>
            <w:pPr>
              <w:spacing w:line="240" w:lineRule="auto"/>
              <w:ind w:firstLine="0" w:firstLineChars="0"/>
              <w:rPr>
                <w:rFonts w:ascii="Times New Roman" w:hAnsi="Times New Roman" w:cs="Times New Roman"/>
                <w:sz w:val="24"/>
                <w:szCs w:val="24"/>
              </w:rPr>
            </w:pPr>
            <w:r>
              <w:rPr>
                <w:rFonts w:ascii="Times New Roman" w:hAnsi="Times New Roman" w:cs="Times New Roman"/>
                <w:b/>
                <w:bCs/>
                <w:sz w:val="24"/>
                <w:szCs w:val="24"/>
              </w:rPr>
              <w:t>3.Стандарты квалификационной оценки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9" w:hRule="atLeast"/>
          <w:jc w:val="center"/>
        </w:trPr>
        <w:tc>
          <w:tcPr>
            <w:tcW w:w="4847" w:type="dxa"/>
            <w:tcMar>
              <w:top w:w="0" w:type="dxa"/>
              <w:left w:w="28" w:type="dxa"/>
              <w:bottom w:w="0" w:type="dxa"/>
              <w:right w:w="28" w:type="dxa"/>
            </w:tcMar>
            <w:vAlign w:val="center"/>
          </w:tcPr>
          <w:p>
            <w:pPr>
              <w:ind w:firstLine="0" w:firstLineChars="0"/>
              <w:rPr>
                <w:rFonts w:ascii="楷体" w:hAnsi="楷体" w:eastAsia="楷体"/>
                <w:sz w:val="24"/>
                <w:szCs w:val="24"/>
                <w:highlight w:val="yellow"/>
                <w:lang w:eastAsia="zh-CN"/>
              </w:rPr>
            </w:pPr>
            <w:r>
              <w:rPr>
                <w:rFonts w:hint="eastAsia" w:ascii="楷体" w:hAnsi="楷体" w:eastAsia="楷体"/>
                <w:sz w:val="24"/>
                <w:szCs w:val="24"/>
                <w:lang w:eastAsia="zh-CN"/>
              </w:rPr>
              <w:t>3.1资质要求：符合第二章“供应商须知”的规定</w:t>
            </w:r>
          </w:p>
        </w:tc>
        <w:tc>
          <w:tcPr>
            <w:tcW w:w="4847" w:type="dxa"/>
            <w:tcMar>
              <w:top w:w="0" w:type="dxa"/>
              <w:left w:w="28" w:type="dxa"/>
              <w:bottom w:w="0" w:type="dxa"/>
              <w:right w:w="28" w:type="dxa"/>
            </w:tcMar>
            <w:vAlign w:val="center"/>
          </w:tcPr>
          <w:p>
            <w:pPr>
              <w:spacing w:line="240" w:lineRule="auto"/>
              <w:ind w:firstLine="0" w:firstLineChars="0"/>
              <w:rPr>
                <w:rFonts w:ascii="Times New Roman" w:hAnsi="Times New Roman" w:cs="Times New Roman"/>
                <w:sz w:val="24"/>
                <w:szCs w:val="24"/>
                <w:highlight w:val="yellow"/>
                <w:lang w:val="ru-RU"/>
              </w:rPr>
            </w:pPr>
            <w:r>
              <w:rPr>
                <w:rFonts w:ascii="Times New Roman" w:hAnsi="Times New Roman" w:cs="Times New Roman"/>
                <w:b/>
                <w:bCs/>
                <w:sz w:val="24"/>
                <w:szCs w:val="24"/>
                <w:lang w:val="ru-RU"/>
              </w:rPr>
              <w:t>Требования к квалификации:</w:t>
            </w:r>
            <w:r>
              <w:rPr>
                <w:rFonts w:ascii="Times New Roman" w:hAnsi="Times New Roman" w:cs="Times New Roman"/>
                <w:sz w:val="24"/>
                <w:szCs w:val="24"/>
                <w:lang w:val="ru-RU"/>
              </w:rPr>
              <w:t xml:space="preserve"> должны соответствовать положениям главы 2 «Инструкции для поставщиков».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9" w:hRule="atLeast"/>
          <w:jc w:val="center"/>
        </w:trPr>
        <w:tc>
          <w:tcPr>
            <w:tcW w:w="4847" w:type="dxa"/>
            <w:tcMar>
              <w:top w:w="0" w:type="dxa"/>
              <w:left w:w="28" w:type="dxa"/>
              <w:bottom w:w="0" w:type="dxa"/>
              <w:right w:w="28" w:type="dxa"/>
            </w:tcMar>
            <w:vAlign w:val="center"/>
          </w:tcPr>
          <w:p>
            <w:pPr>
              <w:pStyle w:val="39"/>
              <w:widowControl w:val="0"/>
              <w:adjustRightInd w:val="0"/>
              <w:snapToGrid w:val="0"/>
              <w:spacing w:before="145" w:beforeLines="50"/>
              <w:rPr>
                <w:rFonts w:ascii="楷体" w:hAnsi="楷体" w:eastAsia="楷体" w:cs="宋体"/>
                <w:sz w:val="24"/>
                <w:szCs w:val="24"/>
                <w:lang w:eastAsia="zh-CN"/>
              </w:rPr>
            </w:pPr>
            <w:r>
              <w:rPr>
                <w:rFonts w:hint="eastAsia" w:ascii="楷体" w:hAnsi="楷体" w:eastAsia="楷体" w:cs="宋体"/>
                <w:sz w:val="24"/>
                <w:szCs w:val="24"/>
                <w:lang w:eastAsia="zh-CN"/>
              </w:rPr>
              <w:t>3.2信誉要求：符合第二章“供应商须知”的规定</w:t>
            </w:r>
          </w:p>
        </w:tc>
        <w:tc>
          <w:tcPr>
            <w:tcW w:w="4847" w:type="dxa"/>
            <w:tcMar>
              <w:top w:w="0" w:type="dxa"/>
              <w:left w:w="28" w:type="dxa"/>
              <w:bottom w:w="0" w:type="dxa"/>
              <w:right w:w="28" w:type="dxa"/>
            </w:tcMar>
            <w:vAlign w:val="center"/>
          </w:tcPr>
          <w:p>
            <w:pPr>
              <w:pStyle w:val="39"/>
              <w:widowControl w:val="0"/>
              <w:adjustRightInd w:val="0"/>
              <w:snapToGrid w:val="0"/>
              <w:spacing w:line="240" w:lineRule="auto"/>
              <w:rPr>
                <w:rFonts w:ascii="Times New Roman" w:hAnsi="Times New Roman"/>
                <w:sz w:val="24"/>
                <w:szCs w:val="24"/>
                <w:highlight w:val="yellow"/>
                <w:lang w:val="ru-RU" w:eastAsia="zh-CN"/>
              </w:rPr>
            </w:pPr>
            <w:r>
              <w:rPr>
                <w:rFonts w:ascii="Times New Roman" w:hAnsi="Times New Roman" w:eastAsia="Times New Roman"/>
                <w:b/>
                <w:bCs/>
                <w:sz w:val="24"/>
                <w:szCs w:val="24"/>
                <w:lang w:val="ru-RU" w:eastAsia="zh-CN" w:bidi="ar-SA"/>
              </w:rPr>
              <w:t>Требования к репутации:</w:t>
            </w:r>
            <w:r>
              <w:rPr>
                <w:rFonts w:ascii="Times New Roman" w:hAnsi="Times New Roman" w:eastAsia="Times New Roman"/>
                <w:sz w:val="24"/>
                <w:szCs w:val="24"/>
                <w:lang w:val="ru-RU" w:eastAsia="zh-CN" w:bidi="ar-SA"/>
              </w:rPr>
              <w:t xml:space="preserve"> должны соответствовать положениям главы 2 «Инструкции для поставщиков»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9" w:hRule="atLeast"/>
          <w:jc w:val="center"/>
        </w:trPr>
        <w:tc>
          <w:tcPr>
            <w:tcW w:w="4847" w:type="dxa"/>
            <w:tcMar>
              <w:top w:w="0" w:type="dxa"/>
              <w:left w:w="28" w:type="dxa"/>
              <w:bottom w:w="0" w:type="dxa"/>
              <w:right w:w="28" w:type="dxa"/>
            </w:tcMar>
            <w:vAlign w:val="center"/>
          </w:tcPr>
          <w:p>
            <w:pPr>
              <w:pStyle w:val="39"/>
              <w:widowControl w:val="0"/>
              <w:adjustRightInd w:val="0"/>
              <w:snapToGrid w:val="0"/>
              <w:spacing w:before="145" w:beforeLines="50"/>
              <w:rPr>
                <w:rFonts w:ascii="楷体" w:hAnsi="楷体" w:eastAsia="楷体" w:cs="宋体"/>
                <w:sz w:val="24"/>
                <w:szCs w:val="24"/>
                <w:lang w:eastAsia="zh-CN"/>
              </w:rPr>
            </w:pPr>
            <w:r>
              <w:rPr>
                <w:rFonts w:hint="eastAsia" w:ascii="楷体" w:hAnsi="楷体" w:eastAsia="楷体" w:cs="宋体"/>
                <w:sz w:val="24"/>
                <w:szCs w:val="24"/>
                <w:lang w:eastAsia="zh-CN"/>
              </w:rPr>
              <w:t>3.3其他要求：符合第二章“供应商须知”的规定</w:t>
            </w:r>
          </w:p>
        </w:tc>
        <w:tc>
          <w:tcPr>
            <w:tcW w:w="4847" w:type="dxa"/>
            <w:tcMar>
              <w:top w:w="0" w:type="dxa"/>
              <w:left w:w="28" w:type="dxa"/>
              <w:bottom w:w="0" w:type="dxa"/>
              <w:right w:w="28" w:type="dxa"/>
            </w:tcMar>
            <w:vAlign w:val="center"/>
          </w:tcPr>
          <w:p>
            <w:pPr>
              <w:pStyle w:val="39"/>
              <w:widowControl w:val="0"/>
              <w:adjustRightInd w:val="0"/>
              <w:snapToGrid w:val="0"/>
              <w:spacing w:line="240" w:lineRule="auto"/>
              <w:rPr>
                <w:rFonts w:ascii="Times New Roman" w:hAnsi="Times New Roman"/>
                <w:sz w:val="24"/>
                <w:szCs w:val="24"/>
                <w:highlight w:val="yellow"/>
                <w:lang w:val="ru-RU" w:eastAsia="zh-CN"/>
              </w:rPr>
            </w:pPr>
            <w:r>
              <w:rPr>
                <w:rFonts w:ascii="Times New Roman" w:hAnsi="Times New Roman" w:eastAsia="Times New Roman"/>
                <w:b/>
                <w:bCs/>
                <w:sz w:val="24"/>
                <w:szCs w:val="24"/>
                <w:lang w:val="ru-RU" w:eastAsia="zh-CN" w:bidi="ar-SA"/>
              </w:rPr>
              <w:t>Прочие требования:</w:t>
            </w:r>
            <w:r>
              <w:rPr>
                <w:rFonts w:ascii="Times New Roman" w:hAnsi="Times New Roman" w:eastAsia="Times New Roman"/>
                <w:sz w:val="24"/>
                <w:szCs w:val="24"/>
                <w:lang w:val="ru-RU" w:eastAsia="zh-CN" w:bidi="ar-SA"/>
              </w:rPr>
              <w:t xml:space="preserve"> должны соответствовать положениям главы 2 «Инструкции для поставщиков».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4847" w:type="dxa"/>
            <w:tcMar>
              <w:top w:w="0" w:type="dxa"/>
              <w:left w:w="28" w:type="dxa"/>
              <w:bottom w:w="0" w:type="dxa"/>
              <w:right w:w="28" w:type="dxa"/>
            </w:tcMar>
            <w:vAlign w:val="center"/>
          </w:tcPr>
          <w:p>
            <w:pPr>
              <w:ind w:firstLine="0" w:firstLineChars="0"/>
              <w:rPr>
                <w:rFonts w:ascii="楷体" w:hAnsi="楷体" w:eastAsia="楷体"/>
                <w:sz w:val="24"/>
                <w:szCs w:val="24"/>
                <w:lang w:eastAsia="zh-CN"/>
              </w:rPr>
            </w:pPr>
            <w:r>
              <w:rPr>
                <w:rFonts w:hint="eastAsia" w:ascii="楷体" w:hAnsi="楷体" w:eastAsia="楷体"/>
                <w:sz w:val="24"/>
                <w:szCs w:val="24"/>
                <w:lang w:eastAsia="zh-CN"/>
              </w:rPr>
              <w:t>3.5符合性审查标准：见续表1 符合性审查标准</w:t>
            </w:r>
          </w:p>
        </w:tc>
        <w:tc>
          <w:tcPr>
            <w:tcW w:w="4847" w:type="dxa"/>
            <w:tcMar>
              <w:top w:w="0" w:type="dxa"/>
              <w:left w:w="28" w:type="dxa"/>
              <w:bottom w:w="0" w:type="dxa"/>
              <w:right w:w="28" w:type="dxa"/>
            </w:tcMar>
            <w:vAlign w:val="center"/>
          </w:tcPr>
          <w:p>
            <w:pPr>
              <w:spacing w:line="240" w:lineRule="auto"/>
              <w:ind w:firstLine="0" w:firstLineChars="0"/>
              <w:rPr>
                <w:rFonts w:ascii="Times New Roman" w:hAnsi="Times New Roman" w:cs="Times New Roman"/>
                <w:sz w:val="24"/>
                <w:szCs w:val="24"/>
                <w:lang w:val="ru-RU"/>
              </w:rPr>
            </w:pPr>
            <w:r>
              <w:rPr>
                <w:rFonts w:ascii="Times New Roman" w:hAnsi="Times New Roman" w:cs="Times New Roman"/>
                <w:sz w:val="24"/>
                <w:szCs w:val="24"/>
                <w:lang w:val="ru-RU"/>
              </w:rPr>
              <w:t xml:space="preserve">3.5 </w:t>
            </w:r>
            <w:r>
              <w:rPr>
                <w:rFonts w:ascii="Times New Roman" w:hAnsi="Times New Roman" w:cs="Times New Roman"/>
                <w:b/>
                <w:bCs/>
                <w:sz w:val="24"/>
                <w:szCs w:val="24"/>
                <w:lang w:val="ru-RU" w:bidi="en-US"/>
              </w:rPr>
              <w:t>Стандарты оценки соответствия：</w:t>
            </w:r>
            <w:r>
              <w:rPr>
                <w:rFonts w:ascii="Times New Roman" w:hAnsi="Times New Roman" w:cs="Times New Roman"/>
                <w:sz w:val="24"/>
                <w:szCs w:val="24"/>
                <w:lang w:val="ru-RU"/>
              </w:rPr>
              <w:t>см. дополнительные приложения к методике оценки (Таблица 1)</w:t>
            </w:r>
          </w:p>
        </w:tc>
      </w:tr>
    </w:tbl>
    <w:p>
      <w:pPr>
        <w:pStyle w:val="2"/>
        <w:ind w:left="480"/>
        <w:rPr>
          <w:rFonts w:ascii="Times New Roman" w:hAnsi="Times New Roman"/>
          <w:lang w:val="ru-RU"/>
        </w:rPr>
      </w:pPr>
    </w:p>
    <w:p>
      <w:pPr>
        <w:ind w:firstLine="480"/>
        <w:rPr>
          <w:rFonts w:ascii="Times New Roman" w:hAnsi="Times New Roman" w:cs="Times New Roman"/>
          <w:lang w:val="ru-RU"/>
        </w:rPr>
      </w:pPr>
    </w:p>
    <w:p>
      <w:pPr>
        <w:pStyle w:val="5"/>
        <w:spacing w:before="120" w:beforeLines="0"/>
        <w:jc w:val="both"/>
        <w:rPr>
          <w:rFonts w:ascii="Times New Roman" w:hAnsi="Times New Roman" w:cs="Times New Roman"/>
        </w:rPr>
      </w:pPr>
      <w:bookmarkStart w:id="62" w:name="_Toc21056"/>
      <w:bookmarkStart w:id="63" w:name="_Toc14189"/>
      <w:bookmarkStart w:id="64" w:name="_Toc1251"/>
      <w:bookmarkStart w:id="65" w:name="_Toc27646"/>
      <w:bookmarkStart w:id="66" w:name="_Toc19224"/>
      <w:bookmarkStart w:id="67" w:name="_Toc16865"/>
      <w:bookmarkStart w:id="68" w:name="_Toc3474877"/>
      <w:bookmarkStart w:id="69" w:name="_Toc16714"/>
      <w:r>
        <w:rPr>
          <w:rFonts w:hint="eastAsia" w:ascii="Times New Roman" w:hAnsi="Times New Roman" w:cs="Times New Roman"/>
        </w:rPr>
        <w:t>2.符合性审查标准表（</w:t>
      </w:r>
      <w:r>
        <w:rPr>
          <w:rFonts w:ascii="Times New Roman" w:hAnsi="Times New Roman" w:cs="Times New Roman"/>
        </w:rPr>
        <w:t xml:space="preserve"> Стандарты оценки соответствия</w:t>
      </w:r>
      <w:r>
        <w:rPr>
          <w:rFonts w:hint="eastAsia" w:ascii="Times New Roman" w:hAnsi="Times New Roman" w:cs="Times New Roman"/>
        </w:rPr>
        <w:t>）</w:t>
      </w:r>
    </w:p>
    <w:tbl>
      <w:tblPr>
        <w:tblStyle w:val="23"/>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927"/>
        <w:gridCol w:w="49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927" w:type="dxa"/>
          </w:tcPr>
          <w:p>
            <w:pPr>
              <w:ind w:firstLine="0" w:firstLineChars="0"/>
              <w:jc w:val="both"/>
              <w:rPr>
                <w:rFonts w:ascii="Times New Roman" w:hAnsi="Times New Roman" w:eastAsia="楷体" w:cs="Times New Roman"/>
                <w:lang w:eastAsia="zh-CN"/>
              </w:rPr>
            </w:pPr>
            <w:r>
              <w:rPr>
                <w:rFonts w:ascii="Times New Roman" w:hAnsi="Times New Roman" w:eastAsia="楷体" w:cs="Times New Roman"/>
                <w:lang w:eastAsia="zh-CN"/>
              </w:rPr>
              <w:t>1.响应人资格应符合采购公告中资格条件的要求。</w:t>
            </w:r>
          </w:p>
        </w:tc>
        <w:tc>
          <w:tcPr>
            <w:tcW w:w="4927" w:type="dxa"/>
            <w:vAlign w:val="center"/>
          </w:tcPr>
          <w:p>
            <w:pPr>
              <w:spacing w:line="240" w:lineRule="auto"/>
              <w:ind w:firstLine="0" w:firstLineChars="0"/>
              <w:jc w:val="both"/>
              <w:rPr>
                <w:rFonts w:ascii="Times New Roman" w:hAnsi="Times New Roman" w:cs="Times New Roman"/>
                <w:lang w:val="ru-RU"/>
              </w:rPr>
            </w:pPr>
            <w:r>
              <w:rPr>
                <w:rFonts w:ascii="Times New Roman" w:hAnsi="Times New Roman" w:cs="Times New Roman"/>
                <w:lang w:val="ru-RU"/>
              </w:rPr>
              <w:t>1.</w:t>
            </w:r>
            <w:r>
              <w:rPr>
                <w:rFonts w:ascii="Times New Roman" w:hAnsi="Times New Roman" w:eastAsia="楷体" w:cs="Times New Roman"/>
                <w:lang w:val="ru-RU"/>
              </w:rPr>
              <w:t>Квалификация откликающегося лица должна соответствовать требованиям квалификационных условий, указанным в объявлении о закупке.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927" w:type="dxa"/>
          </w:tcPr>
          <w:p>
            <w:pPr>
              <w:ind w:firstLine="0" w:firstLineChars="0"/>
              <w:jc w:val="both"/>
              <w:rPr>
                <w:rFonts w:ascii="Times New Roman" w:hAnsi="Times New Roman" w:eastAsia="楷体" w:cs="Times New Roman"/>
                <w:lang w:eastAsia="zh-CN"/>
              </w:rPr>
            </w:pPr>
            <w:r>
              <w:rPr>
                <w:rFonts w:ascii="Times New Roman" w:hAnsi="Times New Roman" w:eastAsia="楷体" w:cs="Times New Roman"/>
                <w:lang w:eastAsia="zh-CN"/>
              </w:rPr>
              <w:t>2.响应文件的主要格式和内容不符合采购文件要求，并导致评审小组无法正常评审的，应当否决其响应文件。</w:t>
            </w:r>
          </w:p>
        </w:tc>
        <w:tc>
          <w:tcPr>
            <w:tcW w:w="4927" w:type="dxa"/>
            <w:vAlign w:val="center"/>
          </w:tcPr>
          <w:p>
            <w:pPr>
              <w:spacing w:line="240" w:lineRule="auto"/>
              <w:ind w:firstLine="0" w:firstLineChars="0"/>
              <w:jc w:val="both"/>
              <w:rPr>
                <w:rFonts w:ascii="Times New Roman" w:hAnsi="Times New Roman" w:cs="Times New Roman"/>
                <w:lang w:val="ru-RU"/>
              </w:rPr>
            </w:pPr>
            <w:r>
              <w:rPr>
                <w:rFonts w:ascii="Times New Roman" w:hAnsi="Times New Roman" w:cs="Times New Roman"/>
                <w:lang w:val="ru-RU"/>
              </w:rPr>
              <w:t>2.</w:t>
            </w:r>
            <w:r>
              <w:rPr>
                <w:rFonts w:ascii="Times New Roman" w:hAnsi="Times New Roman" w:eastAsia="楷体" w:cs="Times New Roman"/>
                <w:lang w:val="ru-RU"/>
              </w:rPr>
              <w:t>Если основной формат и содержание отклика не соответствуют требованиям закупочных документов и это мешает нормальной оценке, отклик должен быть отклонен.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927" w:type="dxa"/>
          </w:tcPr>
          <w:p>
            <w:pPr>
              <w:ind w:firstLine="0" w:firstLineChars="0"/>
              <w:jc w:val="both"/>
              <w:rPr>
                <w:rFonts w:ascii="Times New Roman" w:hAnsi="Times New Roman" w:eastAsia="楷体" w:cs="Times New Roman"/>
                <w:lang w:eastAsia="zh-CN"/>
              </w:rPr>
            </w:pPr>
            <w:r>
              <w:rPr>
                <w:rFonts w:ascii="Times New Roman" w:hAnsi="Times New Roman" w:eastAsia="楷体" w:cs="Times New Roman"/>
                <w:lang w:eastAsia="zh-CN"/>
              </w:rPr>
              <w:t>3.响应有效期不满足采购文件要求，应当否决其响应。</w:t>
            </w:r>
          </w:p>
        </w:tc>
        <w:tc>
          <w:tcPr>
            <w:tcW w:w="4927" w:type="dxa"/>
            <w:vAlign w:val="center"/>
          </w:tcPr>
          <w:p>
            <w:pPr>
              <w:spacing w:line="240" w:lineRule="auto"/>
              <w:ind w:firstLine="0" w:firstLineChars="0"/>
              <w:jc w:val="both"/>
              <w:rPr>
                <w:rFonts w:ascii="Times New Roman" w:hAnsi="Times New Roman" w:cs="Times New Roman"/>
                <w:lang w:val="ru-RU"/>
              </w:rPr>
            </w:pPr>
            <w:r>
              <w:rPr>
                <w:rFonts w:ascii="Times New Roman" w:hAnsi="Times New Roman" w:cs="Times New Roman"/>
                <w:lang w:val="ru-RU"/>
              </w:rPr>
              <w:t>3.</w:t>
            </w:r>
            <w:r>
              <w:rPr>
                <w:rFonts w:ascii="Times New Roman" w:hAnsi="Times New Roman" w:eastAsia="楷体" w:cs="Times New Roman"/>
                <w:lang w:val="ru-RU"/>
              </w:rPr>
              <w:t>Если срок действия отклика не соответствует требованиям закупочных документов, отклик должен быть отклонен.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927" w:type="dxa"/>
          </w:tcPr>
          <w:p>
            <w:pPr>
              <w:ind w:firstLine="0" w:firstLineChars="0"/>
              <w:jc w:val="both"/>
              <w:rPr>
                <w:rFonts w:ascii="Times New Roman" w:hAnsi="Times New Roman" w:eastAsia="楷体" w:cs="Times New Roman"/>
                <w:lang w:eastAsia="zh-CN"/>
              </w:rPr>
            </w:pPr>
            <w:r>
              <w:rPr>
                <w:rFonts w:ascii="Times New Roman" w:hAnsi="Times New Roman" w:eastAsia="楷体" w:cs="Times New Roman"/>
                <w:lang w:eastAsia="zh-CN"/>
              </w:rPr>
              <w:t>4.供应商有串通报价、弄虚作假、行贿等违法行为，应当否决其响应。</w:t>
            </w:r>
          </w:p>
        </w:tc>
        <w:tc>
          <w:tcPr>
            <w:tcW w:w="4927" w:type="dxa"/>
            <w:vAlign w:val="center"/>
          </w:tcPr>
          <w:p>
            <w:pPr>
              <w:spacing w:line="240" w:lineRule="auto"/>
              <w:ind w:firstLine="0" w:firstLineChars="0"/>
              <w:jc w:val="both"/>
              <w:rPr>
                <w:rFonts w:ascii="Times New Roman" w:hAnsi="Times New Roman" w:cs="Times New Roman"/>
                <w:lang w:val="ru-RU"/>
              </w:rPr>
            </w:pPr>
            <w:r>
              <w:rPr>
                <w:rFonts w:ascii="Times New Roman" w:hAnsi="Times New Roman" w:cs="Times New Roman"/>
                <w:lang w:val="ru-RU"/>
              </w:rPr>
              <w:t>4.</w:t>
            </w:r>
            <w:r>
              <w:rPr>
                <w:rFonts w:ascii="Times New Roman" w:hAnsi="Times New Roman" w:eastAsia="楷体" w:cs="Times New Roman"/>
                <w:lang w:val="ru-RU"/>
              </w:rPr>
              <w:t>Если поставщик совершил незаконные действия, такие как сговор при подаче ценовых предложений, фальсификация, дача взяток и т. д., его отклик должен быть отклонен.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927" w:type="dxa"/>
          </w:tcPr>
          <w:p>
            <w:pPr>
              <w:ind w:firstLine="0" w:firstLineChars="0"/>
              <w:jc w:val="both"/>
              <w:rPr>
                <w:rFonts w:ascii="Times New Roman" w:hAnsi="Times New Roman" w:eastAsia="楷体" w:cs="Times New Roman"/>
                <w:lang w:eastAsia="zh-CN"/>
              </w:rPr>
            </w:pPr>
            <w:r>
              <w:rPr>
                <w:rFonts w:ascii="Times New Roman" w:hAnsi="Times New Roman" w:eastAsia="楷体" w:cs="Times New Roman"/>
                <w:lang w:eastAsia="zh-CN"/>
              </w:rPr>
              <w:t>5.若在评审期间发现了供应商提供了虚假资料，采购人有权对供应商的响应文件作否决报价处理；</w:t>
            </w:r>
          </w:p>
        </w:tc>
        <w:tc>
          <w:tcPr>
            <w:tcW w:w="4927" w:type="dxa"/>
            <w:vAlign w:val="center"/>
          </w:tcPr>
          <w:p>
            <w:pPr>
              <w:spacing w:line="240" w:lineRule="auto"/>
              <w:ind w:firstLine="0" w:firstLineChars="0"/>
              <w:jc w:val="both"/>
              <w:rPr>
                <w:rFonts w:ascii="Times New Roman" w:hAnsi="Times New Roman" w:cs="Times New Roman"/>
                <w:lang w:val="ru-RU"/>
              </w:rPr>
            </w:pPr>
            <w:r>
              <w:rPr>
                <w:rFonts w:ascii="Times New Roman" w:hAnsi="Times New Roman" w:cs="Times New Roman"/>
                <w:lang w:val="ru-RU"/>
              </w:rPr>
              <w:t>5.</w:t>
            </w:r>
            <w:r>
              <w:rPr>
                <w:rFonts w:ascii="Times New Roman" w:hAnsi="Times New Roman" w:eastAsia="楷体" w:cs="Times New Roman"/>
                <w:lang w:val="ru-RU"/>
              </w:rPr>
              <w:t>Если в процессе оценки будет установлено, что поставщик предоставил ложные документы, заказчик имеет право отклонить его ценовое предложение.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927" w:type="dxa"/>
          </w:tcPr>
          <w:p>
            <w:pPr>
              <w:ind w:firstLine="0" w:firstLineChars="0"/>
              <w:jc w:val="both"/>
              <w:rPr>
                <w:rFonts w:ascii="Times New Roman" w:hAnsi="Times New Roman" w:eastAsia="楷体" w:cs="Times New Roman"/>
                <w:lang w:eastAsia="zh-CN"/>
              </w:rPr>
            </w:pPr>
            <w:r>
              <w:rPr>
                <w:rFonts w:ascii="Times New Roman" w:hAnsi="Times New Roman" w:eastAsia="楷体" w:cs="Times New Roman"/>
                <w:lang w:eastAsia="zh-CN"/>
              </w:rPr>
              <w:t>6.响应报价有算术错误的，评审小组按采购文件约定的原则对响应报价进行修正，修正后的响应报价作为评审价。修正后的价格经响应人书面确认后，具有约束力。响应人不接受修正价格的，评审小组应当否决其响应。</w:t>
            </w:r>
          </w:p>
        </w:tc>
        <w:tc>
          <w:tcPr>
            <w:tcW w:w="4927" w:type="dxa"/>
            <w:vAlign w:val="center"/>
          </w:tcPr>
          <w:p>
            <w:pPr>
              <w:spacing w:line="240" w:lineRule="auto"/>
              <w:ind w:firstLine="0" w:firstLineChars="0"/>
              <w:jc w:val="both"/>
              <w:rPr>
                <w:rFonts w:ascii="Times New Roman" w:hAnsi="Times New Roman" w:cs="Times New Roman"/>
                <w:lang w:val="ru-RU"/>
              </w:rPr>
            </w:pPr>
            <w:r>
              <w:rPr>
                <w:rFonts w:ascii="Times New Roman" w:hAnsi="Times New Roman" w:cs="Times New Roman"/>
                <w:lang w:val="ru-RU"/>
              </w:rPr>
              <w:t>6.</w:t>
            </w:r>
            <w:r>
              <w:rPr>
                <w:rFonts w:ascii="Times New Roman" w:hAnsi="Times New Roman" w:eastAsia="楷体" w:cs="Times New Roman"/>
                <w:lang w:val="ru-RU"/>
              </w:rPr>
              <w:t>Если в ценовом предложении поставщика найдены арифметические ошибки, комиссия по оценке должна исправить цену отклика согласно принципам, указанным в закупочных документах. Исправленная цена будет использоваться для оценки. После письменного подтверждения исправленной цены поставщиком, она становится обязательной. Если поставщик не принимает исправленную цену, его отклик должен быть отклонен.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927" w:type="dxa"/>
          </w:tcPr>
          <w:p>
            <w:pPr>
              <w:ind w:firstLine="0" w:firstLineChars="0"/>
              <w:jc w:val="both"/>
              <w:rPr>
                <w:rFonts w:ascii="Times New Roman" w:hAnsi="Times New Roman" w:eastAsia="楷体" w:cs="Times New Roman"/>
                <w:lang w:eastAsia="zh-CN"/>
              </w:rPr>
            </w:pPr>
            <w:r>
              <w:rPr>
                <w:rFonts w:ascii="Times New Roman" w:hAnsi="Times New Roman" w:eastAsia="楷体" w:cs="Times New Roman"/>
                <w:lang w:eastAsia="zh-CN"/>
              </w:rPr>
              <w:t>7.评审小组发现响应人的报价明显低于其他响应报价，或者在设有标底时明显低于标底，使得其响应报价可能低于其个别成本的，应当要求该响应人作出书面说明并提供相应的证明材料。响应人不能合理说明或者不能提供相应证明材料的，由评审小组认定该响应人以低于成本报价响应，按否决其响应处理。</w:t>
            </w:r>
          </w:p>
        </w:tc>
        <w:tc>
          <w:tcPr>
            <w:tcW w:w="4927" w:type="dxa"/>
            <w:vAlign w:val="center"/>
          </w:tcPr>
          <w:p>
            <w:pPr>
              <w:spacing w:line="240" w:lineRule="auto"/>
              <w:ind w:firstLine="0" w:firstLineChars="0"/>
              <w:jc w:val="both"/>
              <w:rPr>
                <w:rFonts w:ascii="Times New Roman" w:hAnsi="Times New Roman" w:cs="Times New Roman"/>
                <w:lang w:val="ru-RU"/>
              </w:rPr>
            </w:pPr>
            <w:r>
              <w:rPr>
                <w:rFonts w:ascii="Times New Roman" w:hAnsi="Times New Roman" w:cs="Times New Roman"/>
                <w:lang w:val="ru-RU"/>
              </w:rPr>
              <w:t>7.</w:t>
            </w:r>
            <w:r>
              <w:rPr>
                <w:rFonts w:ascii="Times New Roman" w:hAnsi="Times New Roman" w:eastAsia="楷体" w:cs="Times New Roman"/>
                <w:lang w:val="ru-RU"/>
              </w:rPr>
              <w:t>Если комиссия по оценке обнаружит, что цена отклика поставщика значительно ниже других откликов или, в случае наличия ориентировочной цены, значительно ниже этой цены, что может означать, что его предложение ниже его индивидуальных затрат, заказчик должен запросить от поставщика письменное объяснение и соответствующие доказательства. Если поставщик не может разумно объяснить или предоставить необходимые доказательства, комиссия по оценке признает, что поставщик подал отклик с ценой ниже себестоимости, и отклонит его отклик.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927" w:type="dxa"/>
          </w:tcPr>
          <w:p>
            <w:pPr>
              <w:ind w:firstLine="0" w:firstLineChars="0"/>
              <w:jc w:val="both"/>
              <w:rPr>
                <w:rFonts w:ascii="Times New Roman" w:hAnsi="Times New Roman" w:eastAsia="楷体" w:cs="Times New Roman"/>
                <w:lang w:eastAsia="zh-CN"/>
              </w:rPr>
            </w:pPr>
            <w:r>
              <w:rPr>
                <w:rFonts w:ascii="Times New Roman" w:hAnsi="Times New Roman" w:eastAsia="楷体" w:cs="Times New Roman"/>
                <w:lang w:eastAsia="zh-CN"/>
              </w:rPr>
              <w:t>8.除响应人须知前附表规定允许外，响应人不得递交备选响应方案，否则其响应将被否决。同一响应人提交两个以上不同的响应文件或者响应报价，应当否决其响应，但采购文件要求提交备选响应的除外。</w:t>
            </w:r>
          </w:p>
        </w:tc>
        <w:tc>
          <w:tcPr>
            <w:tcW w:w="4927" w:type="dxa"/>
            <w:vAlign w:val="center"/>
          </w:tcPr>
          <w:p>
            <w:pPr>
              <w:spacing w:line="240" w:lineRule="auto"/>
              <w:ind w:firstLine="0" w:firstLineChars="0"/>
              <w:jc w:val="both"/>
              <w:rPr>
                <w:rFonts w:ascii="Times New Roman" w:hAnsi="Times New Roman" w:cs="Times New Roman"/>
                <w:lang w:val="ru-RU"/>
              </w:rPr>
            </w:pPr>
            <w:r>
              <w:rPr>
                <w:rFonts w:ascii="Times New Roman" w:hAnsi="Times New Roman" w:cs="Times New Roman"/>
                <w:lang w:val="ru-RU"/>
              </w:rPr>
              <w:t>8.</w:t>
            </w:r>
            <w:r>
              <w:rPr>
                <w:rFonts w:ascii="Times New Roman" w:hAnsi="Times New Roman" w:eastAsia="楷体" w:cs="Times New Roman"/>
                <w:lang w:val="ru-RU"/>
              </w:rPr>
              <w:t>Если не предусмотрено иное в приложении к разделу "Инструкция для поставщиков", отклик поставщика не должен содержать альтернативные предложения, в противном случае его отклик будет отклонен. Если один и тот же поставщик подает два и более различных отклика или ценовых предложений, его отклик должен быть отклонен, за исключением случаев, когда в закупочных документах указано требование о подаче альтернативных предложений.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927" w:type="dxa"/>
          </w:tcPr>
          <w:p>
            <w:pPr>
              <w:ind w:firstLine="0" w:firstLineChars="0"/>
              <w:jc w:val="both"/>
              <w:rPr>
                <w:rFonts w:ascii="Times New Roman" w:hAnsi="Times New Roman" w:eastAsia="楷体" w:cs="Times New Roman"/>
                <w:lang w:eastAsia="zh-CN"/>
              </w:rPr>
            </w:pPr>
            <w:r>
              <w:rPr>
                <w:rFonts w:ascii="Times New Roman" w:hAnsi="Times New Roman" w:eastAsia="楷体" w:cs="Times New Roman"/>
                <w:lang w:eastAsia="zh-CN"/>
              </w:rPr>
              <w:t>9.评审小组对供应商提交的澄清、说明或补正有疑问的，可以要求供应商进一步澄清、说明或补正，直至满足评审小组的要求。如不按评审小组要求进行澄清、说明或补正的，可以否决其响应。</w:t>
            </w:r>
          </w:p>
        </w:tc>
        <w:tc>
          <w:tcPr>
            <w:tcW w:w="4927" w:type="dxa"/>
            <w:vAlign w:val="center"/>
          </w:tcPr>
          <w:p>
            <w:pPr>
              <w:spacing w:line="240" w:lineRule="auto"/>
              <w:ind w:firstLine="0" w:firstLineChars="0"/>
              <w:jc w:val="both"/>
              <w:rPr>
                <w:rFonts w:ascii="Times New Roman" w:hAnsi="Times New Roman" w:cs="Times New Roman"/>
                <w:lang w:val="ru-RU"/>
              </w:rPr>
            </w:pPr>
            <w:r>
              <w:rPr>
                <w:rFonts w:ascii="Times New Roman" w:hAnsi="Times New Roman" w:cs="Times New Roman"/>
                <w:lang w:val="ru-RU"/>
              </w:rPr>
              <w:t>9.</w:t>
            </w:r>
            <w:r>
              <w:rPr>
                <w:rFonts w:ascii="Times New Roman" w:hAnsi="Times New Roman" w:eastAsia="楷体" w:cs="Times New Roman"/>
                <w:lang w:val="ru-RU"/>
              </w:rPr>
              <w:t>Если комиссия по оценке имеет сомнения относительно разъяснений, пояснений или исправлений, представленных поставщиком, она может запросить дополнительные разъяснения или исправления, пока не будут выполнены требования комиссии. Если поставщик не предоставляет разъяснения или исправления по запросу комиссии, его отклик может быть отклонен.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927" w:type="dxa"/>
          </w:tcPr>
          <w:p>
            <w:pPr>
              <w:ind w:firstLine="0" w:firstLineChars="0"/>
              <w:jc w:val="both"/>
              <w:rPr>
                <w:rFonts w:ascii="Times New Roman" w:hAnsi="Times New Roman" w:eastAsia="楷体" w:cs="Times New Roman"/>
                <w:lang w:eastAsia="zh-CN"/>
              </w:rPr>
            </w:pPr>
            <w:r>
              <w:rPr>
                <w:rFonts w:ascii="Times New Roman" w:hAnsi="Times New Roman" w:eastAsia="楷体" w:cs="Times New Roman"/>
                <w:lang w:eastAsia="zh-CN"/>
              </w:rPr>
              <w:t>10.响应文件应当对采购文件的实质性要求和条件作出满足性或更有利于采购人的响应，否则，供应商的响应将被否决。</w:t>
            </w:r>
          </w:p>
        </w:tc>
        <w:tc>
          <w:tcPr>
            <w:tcW w:w="4927" w:type="dxa"/>
            <w:vAlign w:val="center"/>
          </w:tcPr>
          <w:p>
            <w:pPr>
              <w:spacing w:line="240" w:lineRule="auto"/>
              <w:ind w:firstLine="0" w:firstLineChars="0"/>
              <w:jc w:val="both"/>
              <w:rPr>
                <w:rFonts w:ascii="Times New Roman" w:hAnsi="Times New Roman" w:cs="Times New Roman"/>
                <w:lang w:val="ru-RU"/>
              </w:rPr>
            </w:pPr>
            <w:r>
              <w:rPr>
                <w:rFonts w:ascii="Times New Roman" w:hAnsi="Times New Roman" w:cs="Times New Roman"/>
                <w:lang w:val="ru-RU"/>
              </w:rPr>
              <w:t>10.</w:t>
            </w:r>
            <w:r>
              <w:rPr>
                <w:rFonts w:ascii="Times New Roman" w:hAnsi="Times New Roman" w:eastAsia="楷体" w:cs="Times New Roman"/>
                <w:lang w:val="ru-RU"/>
              </w:rPr>
              <w:t>Отклик должен соответствовать существенным требованиям и условиям закупочных документов или предлагать более выгодные условия для заказчика, в противном случае отклик поставщика будет отклонен.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927" w:type="dxa"/>
          </w:tcPr>
          <w:p>
            <w:pPr>
              <w:ind w:firstLine="0" w:firstLineChars="0"/>
              <w:jc w:val="both"/>
              <w:rPr>
                <w:rFonts w:ascii="Times New Roman" w:hAnsi="Times New Roman" w:eastAsia="楷体" w:cs="Times New Roman"/>
                <w:lang w:eastAsia="zh-CN"/>
              </w:rPr>
            </w:pPr>
            <w:r>
              <w:rPr>
                <w:rFonts w:ascii="Times New Roman" w:hAnsi="Times New Roman" w:eastAsia="楷体" w:cs="Times New Roman"/>
                <w:lang w:eastAsia="zh-CN"/>
              </w:rPr>
              <w:t>11.响应文件附有采购人不能接受的条件，应当否决其响应。</w:t>
            </w:r>
          </w:p>
        </w:tc>
        <w:tc>
          <w:tcPr>
            <w:tcW w:w="4927" w:type="dxa"/>
            <w:vAlign w:val="center"/>
          </w:tcPr>
          <w:p>
            <w:pPr>
              <w:spacing w:line="240" w:lineRule="auto"/>
              <w:ind w:firstLine="0" w:firstLineChars="0"/>
              <w:jc w:val="both"/>
              <w:rPr>
                <w:rFonts w:ascii="Times New Roman" w:hAnsi="Times New Roman" w:cs="Times New Roman"/>
                <w:lang w:val="ru-RU"/>
              </w:rPr>
            </w:pPr>
            <w:r>
              <w:rPr>
                <w:rFonts w:ascii="Times New Roman" w:hAnsi="Times New Roman" w:eastAsia="楷体" w:cs="Times New Roman"/>
                <w:lang w:val="ru-RU"/>
              </w:rPr>
              <w:t>11.Если в отклике присутствуют условия, которые заказчик не может принять, отклик должен быть отклонен.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927" w:type="dxa"/>
          </w:tcPr>
          <w:p>
            <w:pPr>
              <w:ind w:firstLine="0" w:firstLineChars="0"/>
              <w:jc w:val="both"/>
              <w:rPr>
                <w:rFonts w:ascii="Times New Roman" w:hAnsi="Times New Roman" w:eastAsia="楷体" w:cs="Times New Roman"/>
                <w:lang w:eastAsia="zh-CN"/>
              </w:rPr>
            </w:pPr>
            <w:r>
              <w:rPr>
                <w:rFonts w:ascii="Times New Roman" w:hAnsi="Times New Roman" w:eastAsia="楷体" w:cs="Times New Roman"/>
                <w:lang w:eastAsia="zh-CN"/>
              </w:rPr>
              <w:t>12.采购文件或国家法规规定的其他否决报价内容。</w:t>
            </w:r>
          </w:p>
        </w:tc>
        <w:tc>
          <w:tcPr>
            <w:tcW w:w="4927" w:type="dxa"/>
            <w:vAlign w:val="center"/>
          </w:tcPr>
          <w:p>
            <w:pPr>
              <w:spacing w:line="240" w:lineRule="auto"/>
              <w:ind w:firstLine="0" w:firstLineChars="0"/>
              <w:jc w:val="both"/>
              <w:rPr>
                <w:rFonts w:ascii="Times New Roman" w:hAnsi="Times New Roman" w:cs="Times New Roman"/>
                <w:lang w:val="ru-RU"/>
              </w:rPr>
            </w:pPr>
            <w:r>
              <w:rPr>
                <w:rFonts w:ascii="Times New Roman" w:hAnsi="Times New Roman" w:eastAsia="楷体" w:cs="Times New Roman"/>
                <w:lang w:val="ru-RU"/>
              </w:rPr>
              <w:t>12.Другие причины отклонения ценового предложения, указанные в закупочных документах или в национальных законах.</w:t>
            </w:r>
          </w:p>
        </w:tc>
      </w:tr>
    </w:tbl>
    <w:p>
      <w:pPr>
        <w:spacing w:before="120"/>
        <w:ind w:firstLine="560"/>
        <w:rPr>
          <w:rFonts w:ascii="楷体" w:hAnsi="楷体" w:eastAsia="楷体" w:cs="Microsoft JhengHei"/>
          <w:sz w:val="28"/>
          <w:szCs w:val="28"/>
          <w:lang w:val="ru-RU"/>
        </w:rPr>
      </w:pPr>
    </w:p>
    <w:p>
      <w:pPr>
        <w:spacing w:before="120"/>
        <w:ind w:firstLine="560"/>
        <w:rPr>
          <w:rFonts w:ascii="楷体" w:hAnsi="楷体" w:eastAsia="楷体" w:cs="Microsoft JhengHei"/>
          <w:sz w:val="28"/>
          <w:szCs w:val="28"/>
          <w:lang w:val="ru-RU" w:eastAsia="zh-CN"/>
        </w:rPr>
        <w:sectPr>
          <w:pgSz w:w="11906" w:h="16832"/>
          <w:pgMar w:top="1417" w:right="1417" w:bottom="1417" w:left="1417" w:header="851" w:footer="992" w:gutter="0"/>
          <w:cols w:space="720" w:num="1"/>
          <w:docGrid w:type="lines" w:linePitch="291" w:charSpace="0"/>
        </w:sectPr>
      </w:pPr>
    </w:p>
    <w:p>
      <w:pPr>
        <w:pStyle w:val="5"/>
        <w:spacing w:before="120" w:beforeLines="0"/>
        <w:jc w:val="both"/>
        <w:rPr>
          <w:rFonts w:ascii="Times New Roman" w:hAnsi="Times New Roman" w:cs="Times New Roman"/>
        </w:rPr>
      </w:pPr>
      <w:r>
        <w:rPr>
          <w:rFonts w:ascii="Times New Roman" w:hAnsi="Times New Roman" w:cs="Times New Roman"/>
        </w:rPr>
        <w:t>3.具体评审方法（Метод оценки）</w:t>
      </w:r>
    </w:p>
    <w:tbl>
      <w:tblPr>
        <w:tblStyle w:val="23"/>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927"/>
        <w:gridCol w:w="49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927" w:type="dxa"/>
          </w:tcPr>
          <w:p>
            <w:pPr>
              <w:ind w:firstLine="0" w:firstLineChars="0"/>
              <w:jc w:val="both"/>
              <w:rPr>
                <w:rFonts w:ascii="楷体" w:hAnsi="楷体" w:eastAsia="楷体"/>
                <w:highlight w:val="yellow"/>
                <w:lang w:eastAsia="zh-CN" w:bidi="en-US"/>
              </w:rPr>
            </w:pPr>
            <w:r>
              <w:rPr>
                <w:rFonts w:hint="eastAsia" w:ascii="楷体" w:hAnsi="楷体" w:eastAsia="楷体" w:cs="Microsoft JhengHei"/>
                <w:bCs/>
                <w:sz w:val="28"/>
                <w:szCs w:val="28"/>
                <w:lang w:eastAsia="zh-CN"/>
              </w:rPr>
              <w:t>1.总体要求</w:t>
            </w:r>
          </w:p>
        </w:tc>
        <w:tc>
          <w:tcPr>
            <w:tcW w:w="4927" w:type="dxa"/>
            <w:vAlign w:val="center"/>
          </w:tcPr>
          <w:p>
            <w:pPr>
              <w:spacing w:line="240" w:lineRule="auto"/>
              <w:ind w:firstLine="0" w:firstLineChars="0"/>
              <w:jc w:val="both"/>
              <w:rPr>
                <w:rFonts w:ascii="Times New Roman" w:hAnsi="Times New Roman" w:cs="Times New Roman"/>
                <w:sz w:val="22"/>
                <w:highlight w:val="yellow"/>
                <w:lang w:eastAsia="zh-CN"/>
              </w:rPr>
            </w:pPr>
            <w:r>
              <w:rPr>
                <w:rFonts w:ascii="Times New Roman" w:hAnsi="Times New Roman" w:cs="Times New Roman"/>
                <w:sz w:val="20"/>
                <w:lang w:eastAsia="zh-CN"/>
              </w:rPr>
              <w:t>1.</w:t>
            </w:r>
            <w:r>
              <w:rPr>
                <w:rFonts w:ascii="Times New Roman" w:hAnsi="Times New Roman" w:eastAsia="Segoe UI" w:cs="Times New Roman"/>
                <w:sz w:val="22"/>
                <w:szCs w:val="24"/>
                <w:shd w:val="clear" w:color="auto" w:fill="FFFFFF"/>
              </w:rPr>
              <w:t>Общие требования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927" w:type="dxa"/>
          </w:tcPr>
          <w:p>
            <w:pPr>
              <w:ind w:firstLine="0" w:firstLineChars="0"/>
              <w:jc w:val="both"/>
              <w:rPr>
                <w:rFonts w:ascii="楷体" w:hAnsi="楷体" w:eastAsia="楷体"/>
                <w:highlight w:val="yellow"/>
                <w:lang w:eastAsia="zh-CN"/>
              </w:rPr>
            </w:pPr>
            <w:r>
              <w:rPr>
                <w:rFonts w:hint="eastAsia" w:ascii="楷体" w:hAnsi="楷体" w:eastAsia="楷体"/>
                <w:lang w:eastAsia="zh-CN" w:bidi="en-US"/>
              </w:rPr>
              <w:t>评审小组按照形式审查、资格审查、符合性审查标准对响应文件进行评审，对通过形式审查、资格审查和符合性审查的响应文件，按评审办法前附表中规定的推荐预成交供应商。</w:t>
            </w:r>
          </w:p>
        </w:tc>
        <w:tc>
          <w:tcPr>
            <w:tcW w:w="4927" w:type="dxa"/>
            <w:vAlign w:val="center"/>
          </w:tcPr>
          <w:p>
            <w:pPr>
              <w:spacing w:line="240" w:lineRule="auto"/>
              <w:ind w:firstLine="0" w:firstLineChars="0"/>
              <w:jc w:val="both"/>
              <w:rPr>
                <w:rFonts w:ascii="Times New Roman" w:hAnsi="Times New Roman" w:cs="Times New Roman"/>
                <w:highlight w:val="yellow"/>
                <w:lang w:val="ru-RU"/>
              </w:rPr>
            </w:pPr>
            <w:r>
              <w:rPr>
                <w:rFonts w:ascii="Times New Roman" w:hAnsi="Times New Roman" w:cs="Times New Roman"/>
                <w:sz w:val="22"/>
                <w:lang w:val="ru-RU"/>
              </w:rPr>
              <w:t>Комиссия по оценке проводит экспертизу конкурсных предложений в соответствии с критериями формальной проверки, проверки квалификации и проверки соответствия. Для предложений, успешно прошедших формальную проверку, проверку квалификации и соответствия, комиссия рекомендует предварительно отобранных поставщиков в соответствии с положениями, указанными в приложении к методике оценки.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927" w:type="dxa"/>
          </w:tcPr>
          <w:p>
            <w:pPr>
              <w:pStyle w:val="5"/>
              <w:spacing w:before="0" w:beforeLines="0" w:line="440" w:lineRule="exact"/>
              <w:rPr>
                <w:rFonts w:ascii="楷体" w:hAnsi="楷体" w:eastAsia="楷体"/>
              </w:rPr>
            </w:pPr>
            <w:bookmarkStart w:id="70" w:name="_Toc11599"/>
            <w:bookmarkStart w:id="71" w:name="_Toc1716"/>
            <w:bookmarkStart w:id="72" w:name="_Toc7511"/>
            <w:bookmarkStart w:id="73" w:name="_Toc16162"/>
            <w:bookmarkStart w:id="74" w:name="_Toc16118"/>
            <w:bookmarkStart w:id="75" w:name="_Toc1520"/>
            <w:bookmarkStart w:id="76" w:name="_Toc8553"/>
            <w:bookmarkStart w:id="77" w:name="_Toc15322"/>
            <w:r>
              <w:rPr>
                <w:rFonts w:ascii="楷体" w:hAnsi="楷体" w:eastAsia="楷体"/>
              </w:rPr>
              <w:t xml:space="preserve">2. </w:t>
            </w:r>
            <w:r>
              <w:rPr>
                <w:rFonts w:hint="eastAsia" w:ascii="楷体" w:hAnsi="楷体" w:eastAsia="楷体"/>
              </w:rPr>
              <w:t>初步</w:t>
            </w:r>
            <w:r>
              <w:rPr>
                <w:rFonts w:ascii="楷体" w:hAnsi="楷体" w:eastAsia="楷体"/>
              </w:rPr>
              <w:t>评审标准</w:t>
            </w:r>
            <w:bookmarkEnd w:id="70"/>
            <w:bookmarkEnd w:id="71"/>
            <w:bookmarkEnd w:id="72"/>
            <w:bookmarkEnd w:id="73"/>
            <w:bookmarkEnd w:id="74"/>
            <w:bookmarkEnd w:id="75"/>
            <w:bookmarkEnd w:id="76"/>
            <w:bookmarkEnd w:id="77"/>
          </w:p>
        </w:tc>
        <w:tc>
          <w:tcPr>
            <w:tcW w:w="4927" w:type="dxa"/>
            <w:vAlign w:val="center"/>
          </w:tcPr>
          <w:p>
            <w:pPr>
              <w:pStyle w:val="5"/>
              <w:spacing w:before="0" w:beforeLines="0" w:line="240" w:lineRule="auto"/>
              <w:jc w:val="both"/>
              <w:rPr>
                <w:rFonts w:ascii="Times New Roman" w:hAnsi="Times New Roman" w:eastAsia="宋体" w:cs="Times New Roman"/>
              </w:rPr>
            </w:pPr>
            <w:r>
              <w:rPr>
                <w:rFonts w:ascii="Times New Roman" w:hAnsi="Times New Roman" w:cs="Times New Roman"/>
                <w:sz w:val="24"/>
              </w:rPr>
              <w:t>2.</w:t>
            </w:r>
            <w:r>
              <w:rPr>
                <w:rFonts w:ascii="Times New Roman" w:hAnsi="Times New Roman" w:cs="Times New Roman"/>
              </w:rPr>
              <w:t>Первоначальная проверка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927" w:type="dxa"/>
          </w:tcPr>
          <w:p>
            <w:pPr>
              <w:ind w:firstLine="0" w:firstLineChars="0"/>
              <w:rPr>
                <w:rFonts w:ascii="楷体" w:hAnsi="楷体" w:eastAsia="楷体"/>
                <w:lang w:eastAsia="zh-CN"/>
              </w:rPr>
            </w:pPr>
            <w:r>
              <w:rPr>
                <w:rFonts w:hint="eastAsia" w:ascii="楷体" w:hAnsi="楷体" w:eastAsia="楷体"/>
                <w:lang w:eastAsia="zh-CN" w:bidi="en-US"/>
              </w:rPr>
              <w:t>2.1形式审查标准：见评审办法前附表。</w:t>
            </w:r>
          </w:p>
        </w:tc>
        <w:tc>
          <w:tcPr>
            <w:tcW w:w="4927" w:type="dxa"/>
            <w:vAlign w:val="center"/>
          </w:tcPr>
          <w:p>
            <w:pPr>
              <w:spacing w:line="240" w:lineRule="auto"/>
              <w:ind w:firstLine="0" w:firstLineChars="0"/>
              <w:jc w:val="both"/>
              <w:rPr>
                <w:rFonts w:ascii="Times New Roman" w:hAnsi="Times New Roman" w:cs="Times New Roman"/>
                <w:lang w:val="ru-RU"/>
              </w:rPr>
            </w:pPr>
            <w:r>
              <w:rPr>
                <w:rFonts w:ascii="Times New Roman" w:hAnsi="Times New Roman" w:cs="Times New Roman"/>
                <w:lang w:val="ru-RU"/>
              </w:rPr>
              <w:t>2.1Формальная проверка: см. дополнительные приложения к методике оценки.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927" w:type="dxa"/>
          </w:tcPr>
          <w:p>
            <w:pPr>
              <w:ind w:firstLine="0" w:firstLineChars="0"/>
              <w:rPr>
                <w:rFonts w:ascii="楷体" w:hAnsi="楷体" w:eastAsia="楷体"/>
                <w:lang w:eastAsia="zh-CN"/>
              </w:rPr>
            </w:pPr>
            <w:r>
              <w:rPr>
                <w:rFonts w:hint="eastAsia" w:ascii="楷体" w:hAnsi="楷体" w:eastAsia="楷体"/>
                <w:lang w:eastAsia="zh-CN" w:bidi="en-US"/>
              </w:rPr>
              <w:t>2.2资格审查标准:见评审办法前附表。</w:t>
            </w:r>
          </w:p>
        </w:tc>
        <w:tc>
          <w:tcPr>
            <w:tcW w:w="4927" w:type="dxa"/>
            <w:vAlign w:val="center"/>
          </w:tcPr>
          <w:p>
            <w:pPr>
              <w:spacing w:line="240" w:lineRule="auto"/>
              <w:ind w:firstLine="0" w:firstLineChars="0"/>
              <w:jc w:val="both"/>
              <w:rPr>
                <w:rFonts w:ascii="Times New Roman" w:hAnsi="Times New Roman" w:cs="Times New Roman"/>
                <w:lang w:val="ru-RU"/>
              </w:rPr>
            </w:pPr>
            <w:r>
              <w:rPr>
                <w:rFonts w:ascii="Times New Roman" w:hAnsi="Times New Roman" w:cs="Times New Roman"/>
                <w:lang w:val="ru-RU"/>
              </w:rPr>
              <w:t>2.</w:t>
            </w:r>
            <w:r>
              <w:rPr>
                <w:rFonts w:hint="eastAsia" w:ascii="Times New Roman" w:hAnsi="Times New Roman" w:cs="Times New Roman"/>
                <w:lang w:val="ru-RU" w:eastAsia="zh-CN"/>
              </w:rPr>
              <w:t>2</w:t>
            </w:r>
            <w:r>
              <w:rPr>
                <w:rFonts w:ascii="Times New Roman" w:hAnsi="Times New Roman" w:cs="Times New Roman"/>
                <w:lang w:val="ru-RU"/>
              </w:rPr>
              <w:t>Квалификационная проверка: см. дополнительные приложения к методике оценки.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927" w:type="dxa"/>
          </w:tcPr>
          <w:p>
            <w:pPr>
              <w:ind w:firstLine="0" w:firstLineChars="0"/>
              <w:rPr>
                <w:rFonts w:ascii="楷体" w:hAnsi="楷体" w:eastAsia="楷体"/>
                <w:lang w:eastAsia="zh-CN"/>
              </w:rPr>
            </w:pPr>
            <w:r>
              <w:rPr>
                <w:rFonts w:hint="eastAsia" w:ascii="楷体" w:hAnsi="楷体" w:eastAsia="楷体"/>
                <w:lang w:eastAsia="zh-CN" w:bidi="en-US"/>
              </w:rPr>
              <w:t>2.3 符合性审查标准：见符合性审查标准表。</w:t>
            </w:r>
          </w:p>
        </w:tc>
        <w:tc>
          <w:tcPr>
            <w:tcW w:w="4927" w:type="dxa"/>
            <w:vAlign w:val="center"/>
          </w:tcPr>
          <w:p>
            <w:pPr>
              <w:spacing w:line="240" w:lineRule="auto"/>
              <w:ind w:firstLine="0" w:firstLineChars="0"/>
              <w:jc w:val="both"/>
              <w:rPr>
                <w:rFonts w:ascii="Times New Roman" w:hAnsi="Times New Roman" w:cs="Times New Roman"/>
                <w:sz w:val="22"/>
                <w:lang w:val="ru-RU"/>
              </w:rPr>
            </w:pPr>
            <w:r>
              <w:rPr>
                <w:rStyle w:val="26"/>
                <w:rFonts w:ascii="Times New Roman" w:hAnsi="Times New Roman" w:cs="Times New Roman"/>
                <w:sz w:val="22"/>
                <w:lang w:val="ru-RU"/>
              </w:rPr>
              <w:t>2.3 Критерии проверки соответствия:</w:t>
            </w:r>
            <w:r>
              <w:rPr>
                <w:rFonts w:ascii="Times New Roman" w:hAnsi="Times New Roman" w:cs="Times New Roman"/>
                <w:sz w:val="22"/>
                <w:lang w:val="ru-RU"/>
              </w:rPr>
              <w:br w:type="textWrapping"/>
            </w:r>
            <w:r>
              <w:rPr>
                <w:rFonts w:ascii="Times New Roman" w:hAnsi="Times New Roman" w:cs="Times New Roman"/>
                <w:sz w:val="22"/>
                <w:lang w:val="ru-RU"/>
              </w:rPr>
              <w:t>См. таблицу критериев проверки соответствия.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4927" w:type="dxa"/>
          </w:tcPr>
          <w:p>
            <w:pPr>
              <w:pStyle w:val="5"/>
              <w:tabs>
                <w:tab w:val="center" w:pos="1950"/>
              </w:tabs>
              <w:spacing w:before="0" w:beforeLines="0" w:line="440" w:lineRule="exact"/>
              <w:rPr>
                <w:rFonts w:ascii="楷体" w:hAnsi="楷体" w:eastAsia="楷体"/>
              </w:rPr>
            </w:pPr>
            <w:bookmarkStart w:id="78" w:name="_Toc15500"/>
            <w:r>
              <w:rPr>
                <w:rFonts w:ascii="楷体" w:hAnsi="楷体" w:eastAsia="楷体"/>
              </w:rPr>
              <w:t>3. 评审程序</w:t>
            </w:r>
            <w:bookmarkEnd w:id="78"/>
          </w:p>
        </w:tc>
        <w:tc>
          <w:tcPr>
            <w:tcW w:w="4927" w:type="dxa"/>
            <w:vAlign w:val="center"/>
          </w:tcPr>
          <w:p>
            <w:pPr>
              <w:spacing w:line="240" w:lineRule="auto"/>
              <w:ind w:firstLine="0" w:firstLineChars="0"/>
              <w:jc w:val="both"/>
              <w:rPr>
                <w:rFonts w:ascii="Times New Roman" w:hAnsi="Times New Roman" w:cs="Times New Roman"/>
                <w:sz w:val="22"/>
              </w:rPr>
            </w:pPr>
            <w:r>
              <w:rPr>
                <w:rFonts w:ascii="Times New Roman" w:hAnsi="Times New Roman" w:eastAsia="楷体" w:cs="Times New Roman"/>
                <w:b/>
                <w:bCs/>
                <w:sz w:val="22"/>
              </w:rPr>
              <w:t>3.Процедура оценки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927" w:type="dxa"/>
          </w:tcPr>
          <w:p>
            <w:pPr>
              <w:ind w:firstLine="0" w:firstLineChars="0"/>
              <w:rPr>
                <w:rFonts w:ascii="楷体" w:hAnsi="楷体" w:eastAsia="楷体"/>
              </w:rPr>
            </w:pPr>
            <w:r>
              <w:rPr>
                <w:rFonts w:ascii="楷体" w:hAnsi="楷体" w:eastAsia="楷体" w:cs="Times New Roman Regular"/>
                <w:b/>
              </w:rPr>
              <w:t>3.1 初步评审</w:t>
            </w:r>
          </w:p>
        </w:tc>
        <w:tc>
          <w:tcPr>
            <w:tcW w:w="4927" w:type="dxa"/>
            <w:vAlign w:val="center"/>
          </w:tcPr>
          <w:p>
            <w:pPr>
              <w:spacing w:line="240" w:lineRule="auto"/>
              <w:ind w:firstLine="0" w:firstLineChars="0"/>
              <w:jc w:val="both"/>
              <w:rPr>
                <w:rFonts w:ascii="Times New Roman" w:hAnsi="Times New Roman" w:cs="Times New Roman"/>
                <w:sz w:val="22"/>
              </w:rPr>
            </w:pPr>
            <w:r>
              <w:rPr>
                <w:rFonts w:ascii="Times New Roman" w:hAnsi="Times New Roman" w:eastAsia="楷体" w:cs="Times New Roman"/>
                <w:b/>
                <w:bCs/>
                <w:sz w:val="22"/>
              </w:rPr>
              <w:t>3.1Первоначальная проверка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927" w:type="dxa"/>
          </w:tcPr>
          <w:p>
            <w:pPr>
              <w:ind w:firstLine="0" w:firstLineChars="0"/>
              <w:rPr>
                <w:rFonts w:ascii="楷体" w:hAnsi="楷体" w:eastAsia="楷体"/>
                <w:highlight w:val="yellow"/>
                <w:lang w:eastAsia="zh-CN"/>
              </w:rPr>
            </w:pPr>
            <w:r>
              <w:rPr>
                <w:rFonts w:hint="eastAsia" w:ascii="楷体" w:hAnsi="楷体" w:eastAsia="楷体"/>
                <w:lang w:eastAsia="zh-CN" w:bidi="en-US"/>
              </w:rPr>
              <w:t>3.1.1 评审小组依据评审办法前附表和符合性审查标准表进行初步评审。</w:t>
            </w:r>
          </w:p>
        </w:tc>
        <w:tc>
          <w:tcPr>
            <w:tcW w:w="4927" w:type="dxa"/>
            <w:vAlign w:val="center"/>
          </w:tcPr>
          <w:p>
            <w:pPr>
              <w:spacing w:line="240" w:lineRule="auto"/>
              <w:ind w:firstLine="0" w:firstLineChars="0"/>
              <w:jc w:val="both"/>
              <w:rPr>
                <w:rFonts w:ascii="Times New Roman" w:hAnsi="Times New Roman" w:cs="Times New Roman"/>
                <w:sz w:val="22"/>
                <w:highlight w:val="yellow"/>
                <w:lang w:val="ru-RU"/>
              </w:rPr>
            </w:pPr>
            <w:r>
              <w:rPr>
                <w:rFonts w:ascii="Times New Roman" w:hAnsi="Times New Roman" w:cs="Times New Roman"/>
                <w:sz w:val="22"/>
                <w:lang w:val="ru-RU"/>
              </w:rPr>
              <w:t>3.1.1 Комиссия по оценке проводит предварительную экспертизу на основе предварительной таблицы методики оценки и таблицы критериев проверки соответствия.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927" w:type="dxa"/>
          </w:tcPr>
          <w:p>
            <w:pPr>
              <w:ind w:firstLine="0" w:firstLineChars="0"/>
              <w:jc w:val="both"/>
              <w:rPr>
                <w:rFonts w:ascii="楷体" w:hAnsi="楷体" w:eastAsia="楷体"/>
                <w:lang w:eastAsia="zh-CN"/>
              </w:rPr>
            </w:pPr>
            <w:r>
              <w:rPr>
                <w:rFonts w:hint="eastAsia" w:ascii="楷体" w:hAnsi="楷体" w:eastAsia="楷体"/>
                <w:lang w:eastAsia="zh-CN" w:bidi="en-US"/>
              </w:rPr>
              <w:t>3.1.2 在初步评审过程中，评审小组可以书面形式要求供应商对所提交的响应文件中含义不明确的内容、明显文字或者计算错误的内容进行书面澄清或说明，或者对细微偏差进行补正，评审小组对供应商提交的澄清、说明或补正有疑问的，可以要求供应商进一步澄清、说明或补正，直至满足评审小组的要求。供应商如不按评审小组要求进行澄清、说明或补正的，可以否决其报价。</w:t>
            </w:r>
          </w:p>
        </w:tc>
        <w:tc>
          <w:tcPr>
            <w:tcW w:w="4927" w:type="dxa"/>
            <w:vAlign w:val="center"/>
          </w:tcPr>
          <w:p>
            <w:pPr>
              <w:spacing w:line="240" w:lineRule="auto"/>
              <w:ind w:firstLine="0" w:firstLineChars="0"/>
              <w:jc w:val="both"/>
              <w:rPr>
                <w:rFonts w:ascii="Times New Roman" w:hAnsi="Times New Roman" w:cs="Times New Roman"/>
                <w:lang w:val="ru-RU"/>
              </w:rPr>
            </w:pPr>
            <w:r>
              <w:rPr>
                <w:rFonts w:ascii="Times New Roman" w:hAnsi="Times New Roman" w:cs="Times New Roman"/>
                <w:lang w:val="ru-RU"/>
              </w:rPr>
              <w:t xml:space="preserve">3.1.2  </w:t>
            </w:r>
            <w:r>
              <w:rPr>
                <w:rFonts w:ascii="Times New Roman" w:hAnsi="Times New Roman" w:eastAsia="楷体" w:cs="Times New Roman"/>
                <w:lang w:val="ru-RU" w:bidi="en-US"/>
              </w:rPr>
              <w:t>В процессе первоначальной проверки оценочная комиссия может потребовать от поставщика письменных разъяснений или пояснений по неясным пунктам отклика, а также корректировок очевидных ошибок в тексте или расчетах. Если поставщик не представит разъяснения или исправления по требованию оценочной комиссии, его предложение может быть отклонено.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927" w:type="dxa"/>
          </w:tcPr>
          <w:p>
            <w:pPr>
              <w:ind w:firstLine="0" w:firstLineChars="0"/>
              <w:jc w:val="both"/>
              <w:rPr>
                <w:rFonts w:ascii="楷体" w:hAnsi="楷体" w:eastAsia="楷体"/>
                <w:lang w:eastAsia="zh-CN"/>
              </w:rPr>
            </w:pPr>
            <w:r>
              <w:rPr>
                <w:rFonts w:hint="eastAsia" w:ascii="楷体" w:hAnsi="楷体" w:eastAsia="楷体"/>
                <w:lang w:eastAsia="zh-CN" w:bidi="en-US"/>
              </w:rPr>
              <w:t>3.1.3 供应商的书面澄清、说明和补正属于响应文件的组成部分，均应由法定代表人或其委托代理人签字，或加盖公章，并作为响应文件组成部分。</w:t>
            </w:r>
          </w:p>
        </w:tc>
        <w:tc>
          <w:tcPr>
            <w:tcW w:w="4927" w:type="dxa"/>
            <w:vAlign w:val="center"/>
          </w:tcPr>
          <w:p>
            <w:pPr>
              <w:spacing w:line="240" w:lineRule="auto"/>
              <w:ind w:firstLine="0" w:firstLineChars="0"/>
              <w:jc w:val="both"/>
              <w:rPr>
                <w:rFonts w:ascii="Times New Roman" w:hAnsi="Times New Roman" w:cs="Times New Roman"/>
                <w:lang w:val="ru-RU"/>
              </w:rPr>
            </w:pPr>
            <w:r>
              <w:rPr>
                <w:rFonts w:ascii="Times New Roman" w:hAnsi="Times New Roman" w:cs="Times New Roman"/>
                <w:lang w:val="ru-RU"/>
              </w:rPr>
              <w:t xml:space="preserve">3.1.3 </w:t>
            </w:r>
            <w:r>
              <w:rPr>
                <w:rFonts w:ascii="Times New Roman" w:hAnsi="Times New Roman" w:eastAsia="楷体" w:cs="Times New Roman"/>
                <w:lang w:val="ru-RU" w:bidi="en-US"/>
              </w:rPr>
              <w:t>Письменные разъяснения и корректировки должны быть подписаны уполномоченным представителем поставщика или его доверенным лицом и скреплены печатью, становясь частью отклика.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927" w:type="dxa"/>
          </w:tcPr>
          <w:p>
            <w:pPr>
              <w:ind w:firstLine="0" w:firstLineChars="0"/>
              <w:jc w:val="both"/>
              <w:rPr>
                <w:rFonts w:ascii="楷体" w:hAnsi="楷体" w:eastAsia="楷体"/>
                <w:lang w:eastAsia="zh-CN"/>
              </w:rPr>
            </w:pPr>
            <w:r>
              <w:rPr>
                <w:rFonts w:hint="eastAsia" w:ascii="楷体" w:hAnsi="楷体" w:eastAsia="楷体"/>
                <w:lang w:eastAsia="zh-CN" w:bidi="en-US"/>
              </w:rPr>
              <w:t>3.1.4 评审小组不接受供应商主动提出的澄清、说明或补正。</w:t>
            </w:r>
          </w:p>
        </w:tc>
        <w:tc>
          <w:tcPr>
            <w:tcW w:w="4927" w:type="dxa"/>
            <w:vAlign w:val="center"/>
          </w:tcPr>
          <w:p>
            <w:pPr>
              <w:spacing w:line="240" w:lineRule="auto"/>
              <w:ind w:firstLine="0" w:firstLineChars="0"/>
              <w:jc w:val="both"/>
              <w:rPr>
                <w:rFonts w:ascii="Times New Roman" w:hAnsi="Times New Roman" w:cs="Times New Roman"/>
                <w:lang w:val="ru-RU"/>
              </w:rPr>
            </w:pPr>
            <w:r>
              <w:rPr>
                <w:rFonts w:ascii="Times New Roman" w:hAnsi="Times New Roman" w:cs="Times New Roman"/>
                <w:lang w:val="ru-RU"/>
              </w:rPr>
              <w:t xml:space="preserve">3.1.4 </w:t>
            </w:r>
            <w:r>
              <w:rPr>
                <w:rFonts w:ascii="Times New Roman" w:hAnsi="Times New Roman" w:eastAsia="楷体" w:cs="Times New Roman"/>
                <w:lang w:val="ru-RU" w:bidi="en-US"/>
              </w:rPr>
              <w:t>Оценочная комиссия не принимает предложений по разъяснениям или исправлениям, сделанных поставщиком по собственной инициативе.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927" w:type="dxa"/>
          </w:tcPr>
          <w:p>
            <w:pPr>
              <w:ind w:firstLine="0" w:firstLineChars="0"/>
              <w:rPr>
                <w:rFonts w:ascii="楷体" w:hAnsi="楷体" w:eastAsia="楷体"/>
                <w:lang w:eastAsia="zh-CN"/>
              </w:rPr>
            </w:pPr>
            <w:r>
              <w:rPr>
                <w:rFonts w:hint="eastAsia" w:ascii="楷体" w:hAnsi="楷体" w:eastAsia="楷体"/>
                <w:lang w:eastAsia="zh-CN" w:bidi="en-US"/>
              </w:rPr>
              <w:t>3.1.5 评审小组根据补充和完善后的响应文件判断供应商是否通过初步评审，有不符合评审标准的，按否决其报价处理。</w:t>
            </w:r>
          </w:p>
        </w:tc>
        <w:tc>
          <w:tcPr>
            <w:tcW w:w="4927" w:type="dxa"/>
            <w:vAlign w:val="center"/>
          </w:tcPr>
          <w:p>
            <w:pPr>
              <w:spacing w:line="240" w:lineRule="auto"/>
              <w:ind w:firstLine="0" w:firstLineChars="0"/>
              <w:jc w:val="both"/>
              <w:rPr>
                <w:rFonts w:ascii="Times New Roman" w:hAnsi="Times New Roman" w:cs="Times New Roman"/>
              </w:rPr>
            </w:pPr>
            <w:r>
              <w:rPr>
                <w:rFonts w:ascii="Times New Roman" w:hAnsi="Times New Roman" w:cs="Times New Roman"/>
                <w:lang w:val="ru-RU"/>
              </w:rPr>
              <w:t xml:space="preserve">3.1.5 </w:t>
            </w:r>
            <w:r>
              <w:rPr>
                <w:rFonts w:ascii="Times New Roman" w:hAnsi="Times New Roman" w:eastAsia="楷体" w:cs="Times New Roman"/>
                <w:lang w:val="ru-RU" w:bidi="en-US"/>
              </w:rPr>
              <w:t xml:space="preserve">Оценочная комиссия решает, проходит ли поставщик первоначальную проверку на основе дополненных и исправленных откликов. </w:t>
            </w:r>
            <w:r>
              <w:rPr>
                <w:rFonts w:ascii="Times New Roman" w:hAnsi="Times New Roman" w:eastAsia="楷体" w:cs="Times New Roman"/>
                <w:lang w:bidi="en-US"/>
              </w:rPr>
              <w:t>Если отклик не соответствует критериям, он будет отклонен.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927" w:type="dxa"/>
          </w:tcPr>
          <w:p>
            <w:pPr>
              <w:ind w:firstLine="0" w:firstLineChars="0"/>
              <w:rPr>
                <w:rFonts w:ascii="楷体" w:hAnsi="楷体" w:eastAsia="楷体"/>
              </w:rPr>
            </w:pPr>
            <w:r>
              <w:rPr>
                <w:rFonts w:hint="eastAsia" w:ascii="楷体" w:hAnsi="楷体" w:eastAsia="楷体"/>
                <w:b/>
                <w:bCs/>
              </w:rPr>
              <w:t>3.2  谈判</w:t>
            </w:r>
          </w:p>
        </w:tc>
        <w:tc>
          <w:tcPr>
            <w:tcW w:w="4927" w:type="dxa"/>
            <w:vAlign w:val="center"/>
          </w:tcPr>
          <w:p>
            <w:pPr>
              <w:spacing w:line="240" w:lineRule="auto"/>
              <w:ind w:firstLine="0" w:firstLineChars="0"/>
              <w:jc w:val="both"/>
              <w:rPr>
                <w:rFonts w:ascii="Times New Roman" w:hAnsi="Times New Roman" w:cs="Times New Roman"/>
              </w:rPr>
            </w:pPr>
            <w:r>
              <w:rPr>
                <w:rFonts w:ascii="Times New Roman" w:hAnsi="Times New Roman" w:cs="Times New Roman"/>
              </w:rPr>
              <w:t xml:space="preserve">3.2 </w:t>
            </w:r>
            <w:r>
              <w:rPr>
                <w:rFonts w:ascii="Times New Roman" w:hAnsi="Times New Roman" w:eastAsia="楷体" w:cs="Times New Roman"/>
                <w:b/>
                <w:bCs/>
              </w:rPr>
              <w:t>Переговоры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927" w:type="dxa"/>
          </w:tcPr>
          <w:p>
            <w:pPr>
              <w:ind w:firstLine="0" w:firstLineChars="0"/>
              <w:rPr>
                <w:rFonts w:ascii="楷体" w:hAnsi="楷体" w:eastAsia="楷体"/>
                <w:lang w:eastAsia="zh-CN"/>
              </w:rPr>
            </w:pPr>
            <w:r>
              <w:rPr>
                <w:rFonts w:hint="eastAsia" w:ascii="楷体" w:hAnsi="楷体" w:eastAsia="楷体"/>
                <w:lang w:eastAsia="zh-CN" w:bidi="en-US"/>
              </w:rPr>
              <w:t>3.2.1 本次采购谈判方式根据双方当日的实际情况，采用网上谈判方式或现场谈判。供应商在谈判中做出的承诺构成响应文件的组成部分。</w:t>
            </w:r>
          </w:p>
        </w:tc>
        <w:tc>
          <w:tcPr>
            <w:tcW w:w="4927" w:type="dxa"/>
            <w:vAlign w:val="center"/>
          </w:tcPr>
          <w:p>
            <w:pPr>
              <w:spacing w:line="240" w:lineRule="auto"/>
              <w:ind w:firstLine="0" w:firstLineChars="0"/>
              <w:jc w:val="both"/>
              <w:rPr>
                <w:rFonts w:ascii="Times New Roman" w:hAnsi="Times New Roman" w:cs="Times New Roman"/>
                <w:lang w:val="ru-RU"/>
              </w:rPr>
            </w:pPr>
            <w:r>
              <w:rPr>
                <w:rFonts w:ascii="Times New Roman" w:hAnsi="Times New Roman" w:cs="Times New Roman"/>
                <w:sz w:val="22"/>
                <w:lang w:val="ru-RU"/>
              </w:rPr>
              <w:t>В рамках данной закупки, в зависимости от фактической ситуации в день проведения, переговоры могут проводиться в онлайн-формате или очно. Обязательства, принятые поставщиком в ходе переговоров, являются неотъемлемой частью его конкурсного предложения.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927" w:type="dxa"/>
          </w:tcPr>
          <w:p>
            <w:pPr>
              <w:ind w:firstLine="0" w:firstLineChars="0"/>
              <w:rPr>
                <w:rFonts w:ascii="楷体" w:hAnsi="楷体" w:eastAsia="楷体"/>
                <w:lang w:eastAsia="zh-CN"/>
              </w:rPr>
            </w:pPr>
            <w:r>
              <w:rPr>
                <w:rFonts w:hint="eastAsia" w:ascii="楷体" w:hAnsi="楷体" w:eastAsia="楷体"/>
                <w:lang w:eastAsia="zh-CN" w:bidi="en-US"/>
              </w:rPr>
              <w:t>3.2.2 在谈判过程中，在不实质性改变评审标准或改变可能影响初步评审结果的内容的情况下，经采购人同意后评审小组可根据谈判情况修改和补充采购文件中采购需求部分的技术、服务要求以及合同草案条款等内容，并通过邮箱通知所有通过初步评审的供应商，修改和补充的内容构成采购文件的有效组成部分，供应商应按照采购文件修改和补充的内容及要求重新提交响应文件。</w:t>
            </w:r>
          </w:p>
        </w:tc>
        <w:tc>
          <w:tcPr>
            <w:tcW w:w="4927" w:type="dxa"/>
            <w:vAlign w:val="center"/>
          </w:tcPr>
          <w:p>
            <w:pPr>
              <w:spacing w:line="240" w:lineRule="auto"/>
              <w:ind w:firstLine="0" w:firstLineChars="0"/>
              <w:jc w:val="both"/>
              <w:rPr>
                <w:rFonts w:ascii="Times New Roman" w:hAnsi="Times New Roman" w:cs="Times New Roman"/>
                <w:lang w:val="ru-RU"/>
              </w:rPr>
            </w:pPr>
            <w:r>
              <w:rPr>
                <w:rFonts w:ascii="Times New Roman" w:hAnsi="Times New Roman" w:cs="Times New Roman"/>
                <w:lang w:val="ru-RU"/>
              </w:rPr>
              <w:t xml:space="preserve">3.2.2 </w:t>
            </w:r>
            <w:r>
              <w:rPr>
                <w:rFonts w:ascii="Times New Roman" w:hAnsi="Times New Roman" w:eastAsia="楷体" w:cs="Times New Roman"/>
                <w:lang w:val="ru-RU" w:bidi="en-US"/>
              </w:rPr>
              <w:t>В ходе переговоров, при отсутствии существенных изменений в критериях оценки или других факторов, которые могут повлиять на результаты первоначальной проверки, оценочная комиссия, с согласия заказчика, может изменить или дополнить требования к техническим и сервисным условиям закупки, а также условия контракта, при этом такие изменения будут уведомлены через электронную почту всем поставщикам, прошедшим первоначальную проверку. Изменения станут обязательной частью закупочных документов, и поставщики должны будут предоставить обновленные отклики в соответствии с новыми требованиями.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927" w:type="dxa"/>
          </w:tcPr>
          <w:p>
            <w:pPr>
              <w:ind w:firstLine="0" w:firstLineChars="0"/>
              <w:rPr>
                <w:rFonts w:ascii="楷体" w:hAnsi="楷体" w:eastAsia="楷体"/>
                <w:lang w:eastAsia="zh-CN"/>
              </w:rPr>
            </w:pPr>
            <w:r>
              <w:rPr>
                <w:rFonts w:hint="eastAsia" w:ascii="楷体" w:hAnsi="楷体" w:eastAsia="楷体"/>
                <w:lang w:eastAsia="zh-CN" w:bidi="en-US"/>
              </w:rPr>
              <w:t>3.2.3 谈判最后一轮，评审小组应要求被邀请的供应商在规定时间内提交最终报价或最终方案，最终报价或最终方案是响应文件的有效组成部分。</w:t>
            </w:r>
          </w:p>
        </w:tc>
        <w:tc>
          <w:tcPr>
            <w:tcW w:w="4927" w:type="dxa"/>
            <w:vAlign w:val="center"/>
          </w:tcPr>
          <w:p>
            <w:pPr>
              <w:spacing w:line="240" w:lineRule="auto"/>
              <w:ind w:firstLine="0" w:firstLineChars="0"/>
              <w:jc w:val="both"/>
              <w:rPr>
                <w:rFonts w:ascii="Times New Roman" w:hAnsi="Times New Roman" w:cs="Times New Roman"/>
                <w:lang w:val="ru-RU"/>
              </w:rPr>
            </w:pPr>
            <w:r>
              <w:rPr>
                <w:rStyle w:val="26"/>
                <w:rFonts w:ascii="Times New Roman" w:hAnsi="Times New Roman" w:cs="Times New Roman"/>
                <w:sz w:val="22"/>
                <w:lang w:val="ru-RU"/>
              </w:rPr>
              <w:t>3.2.3</w:t>
            </w:r>
            <w:r>
              <w:rPr>
                <w:rFonts w:ascii="Times New Roman" w:hAnsi="Times New Roman" w:cs="Times New Roman"/>
                <w:sz w:val="22"/>
                <w:lang w:val="ru-RU"/>
              </w:rPr>
              <w:t xml:space="preserve"> В последнем раунде переговоров комиссия по оценке должна потребовать от приглашённых поставщиков представить окончательное ценовое предложение или окончательный план в установленный срок. Окончательное предложение или план является действительной и неотъемлемой частью конкурсного предложения.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927" w:type="dxa"/>
          </w:tcPr>
          <w:p>
            <w:pPr>
              <w:ind w:firstLine="0" w:firstLineChars="0"/>
              <w:rPr>
                <w:rFonts w:ascii="楷体" w:hAnsi="楷体" w:eastAsia="楷体"/>
              </w:rPr>
            </w:pPr>
            <w:bookmarkStart w:id="79" w:name="_Toc523243242"/>
            <w:bookmarkStart w:id="80" w:name="_Toc19344"/>
            <w:bookmarkStart w:id="81" w:name="_Toc3474891"/>
            <w:bookmarkStart w:id="82" w:name="_Toc32741"/>
            <w:bookmarkStart w:id="83" w:name="_Toc522694217"/>
            <w:bookmarkStart w:id="84" w:name="_Toc2492"/>
            <w:bookmarkStart w:id="85" w:name="_Toc1752"/>
            <w:bookmarkStart w:id="86" w:name="_Toc5512"/>
            <w:bookmarkStart w:id="87" w:name="_Toc14119"/>
            <w:r>
              <w:rPr>
                <w:rFonts w:hint="eastAsia" w:ascii="楷体" w:hAnsi="楷体" w:eastAsia="楷体"/>
                <w:b/>
                <w:bCs/>
              </w:rPr>
              <w:t>3.3 详细评审</w:t>
            </w:r>
            <w:bookmarkEnd w:id="79"/>
            <w:bookmarkEnd w:id="80"/>
            <w:bookmarkEnd w:id="81"/>
            <w:bookmarkEnd w:id="82"/>
            <w:bookmarkEnd w:id="83"/>
            <w:bookmarkEnd w:id="84"/>
            <w:bookmarkEnd w:id="85"/>
            <w:bookmarkEnd w:id="86"/>
            <w:bookmarkEnd w:id="87"/>
          </w:p>
        </w:tc>
        <w:tc>
          <w:tcPr>
            <w:tcW w:w="4927" w:type="dxa"/>
            <w:vAlign w:val="center"/>
          </w:tcPr>
          <w:p>
            <w:pPr>
              <w:spacing w:line="240" w:lineRule="auto"/>
              <w:ind w:firstLine="0" w:firstLineChars="0"/>
              <w:jc w:val="both"/>
              <w:rPr>
                <w:rFonts w:ascii="Times New Roman" w:hAnsi="Times New Roman" w:cs="Times New Roman"/>
              </w:rPr>
            </w:pPr>
            <w:r>
              <w:rPr>
                <w:rFonts w:ascii="Times New Roman" w:hAnsi="Times New Roman" w:eastAsia="楷体" w:cs="Times New Roman"/>
                <w:b/>
                <w:bCs/>
              </w:rPr>
              <w:t>3.3 Подробная оценка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927" w:type="dxa"/>
          </w:tcPr>
          <w:p>
            <w:pPr>
              <w:ind w:firstLine="0" w:firstLineChars="0"/>
              <w:jc w:val="both"/>
              <w:rPr>
                <w:rFonts w:ascii="楷体" w:hAnsi="楷体" w:eastAsia="楷体"/>
                <w:lang w:eastAsia="zh-CN"/>
              </w:rPr>
            </w:pPr>
            <w:r>
              <w:rPr>
                <w:rFonts w:hint="eastAsia" w:ascii="楷体" w:hAnsi="楷体" w:eastAsia="楷体"/>
                <w:lang w:eastAsia="zh-CN" w:bidi="en-US"/>
              </w:rPr>
              <w:t>评审小组按照采购文件规定的评审方法对供应商的最终报价或最终方案进行评审。</w:t>
            </w:r>
          </w:p>
        </w:tc>
        <w:tc>
          <w:tcPr>
            <w:tcW w:w="4927" w:type="dxa"/>
            <w:vAlign w:val="center"/>
          </w:tcPr>
          <w:p>
            <w:pPr>
              <w:spacing w:line="240" w:lineRule="auto"/>
              <w:ind w:firstLine="0" w:firstLineChars="0"/>
              <w:jc w:val="both"/>
              <w:rPr>
                <w:rFonts w:ascii="Times New Roman" w:hAnsi="Times New Roman" w:cs="Times New Roman"/>
                <w:lang w:val="ru-RU"/>
              </w:rPr>
            </w:pPr>
            <w:r>
              <w:rPr>
                <w:rFonts w:ascii="Times New Roman" w:hAnsi="Times New Roman" w:cs="Times New Roman"/>
                <w:sz w:val="22"/>
                <w:lang w:val="ru-RU"/>
              </w:rPr>
              <w:t>Комиссия по оценке проводит экспертизу окончательных ценовых предложений или окончательных планов поставщиков в соответствии с методикой оценки, установленной в закупочной документации.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927" w:type="dxa"/>
          </w:tcPr>
          <w:p>
            <w:pPr>
              <w:ind w:firstLine="0" w:firstLineChars="0"/>
              <w:rPr>
                <w:rFonts w:ascii="楷体" w:hAnsi="楷体" w:eastAsia="楷体"/>
              </w:rPr>
            </w:pPr>
            <w:r>
              <w:rPr>
                <w:rFonts w:hint="eastAsia" w:ascii="楷体" w:hAnsi="楷体" w:eastAsia="楷体"/>
                <w:lang w:bidi="en-US"/>
              </w:rPr>
              <w:t xml:space="preserve">3.3.1 </w:t>
            </w:r>
            <w:r>
              <w:rPr>
                <w:rFonts w:hint="eastAsia" w:ascii="楷体" w:hAnsi="楷体" w:eastAsia="楷体"/>
                <w:b/>
                <w:bCs/>
                <w:lang w:bidi="en-US"/>
              </w:rPr>
              <w:t>价格评审</w:t>
            </w:r>
          </w:p>
        </w:tc>
        <w:tc>
          <w:tcPr>
            <w:tcW w:w="4927" w:type="dxa"/>
            <w:vAlign w:val="center"/>
          </w:tcPr>
          <w:p>
            <w:pPr>
              <w:spacing w:line="240" w:lineRule="auto"/>
              <w:ind w:firstLine="0" w:firstLineChars="0"/>
              <w:jc w:val="both"/>
              <w:rPr>
                <w:rFonts w:ascii="Times New Roman" w:hAnsi="Times New Roman" w:cs="Times New Roman"/>
              </w:rPr>
            </w:pPr>
            <w:r>
              <w:rPr>
                <w:rFonts w:ascii="Times New Roman" w:hAnsi="Times New Roman" w:eastAsia="楷体" w:cs="Times New Roman"/>
                <w:b/>
                <w:bCs/>
                <w:lang w:bidi="en-US"/>
              </w:rPr>
              <w:t>3.3.1 Оценка цены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927" w:type="dxa"/>
          </w:tcPr>
          <w:p>
            <w:pPr>
              <w:ind w:firstLine="0" w:firstLineChars="0"/>
              <w:rPr>
                <w:rFonts w:ascii="楷体" w:hAnsi="楷体" w:eastAsia="楷体"/>
                <w:lang w:eastAsia="zh-CN" w:bidi="en-US"/>
              </w:rPr>
            </w:pPr>
            <w:r>
              <w:rPr>
                <w:rFonts w:hint="eastAsia" w:ascii="楷体" w:hAnsi="楷体" w:eastAsia="楷体"/>
                <w:lang w:eastAsia="zh-CN" w:bidi="en-US"/>
              </w:rPr>
              <w:t>(1) 算术错误修正</w:t>
            </w:r>
          </w:p>
          <w:p>
            <w:pPr>
              <w:ind w:firstLine="0" w:firstLineChars="0"/>
              <w:rPr>
                <w:rFonts w:ascii="楷体" w:hAnsi="楷体" w:eastAsia="楷体"/>
              </w:rPr>
            </w:pPr>
            <w:r>
              <w:rPr>
                <w:rFonts w:hint="eastAsia" w:ascii="楷体" w:hAnsi="楷体" w:eastAsia="楷体"/>
                <w:lang w:eastAsia="zh-CN" w:bidi="en-US"/>
              </w:rPr>
              <w:t>供应商的最终响应报价有算术错误的，评审小组按以下原则及顺序对最终响应报价进行修正，修正后的最终响应价格经响应人人书面确认，响应人未进行确认的，否决其报价。</w:t>
            </w:r>
            <w:r>
              <w:rPr>
                <w:rFonts w:hint="eastAsia" w:ascii="楷体" w:hAnsi="楷体" w:eastAsia="楷体"/>
                <w:lang w:bidi="en-US"/>
              </w:rPr>
              <w:t>修正后的响应报价作为评审价。</w:t>
            </w:r>
          </w:p>
        </w:tc>
        <w:tc>
          <w:tcPr>
            <w:tcW w:w="4927" w:type="dxa"/>
            <w:vAlign w:val="center"/>
          </w:tcPr>
          <w:p>
            <w:pPr>
              <w:spacing w:line="240" w:lineRule="auto"/>
              <w:ind w:firstLine="0" w:firstLineChars="0"/>
              <w:jc w:val="both"/>
              <w:rPr>
                <w:rFonts w:ascii="Times New Roman" w:hAnsi="Times New Roman" w:cs="Times New Roman"/>
                <w:lang w:val="ru-RU" w:bidi="en-US"/>
              </w:rPr>
            </w:pPr>
            <w:r>
              <w:rPr>
                <w:rFonts w:ascii="Times New Roman" w:hAnsi="Times New Roman" w:eastAsia="楷体" w:cs="Times New Roman"/>
                <w:lang w:val="ru-RU" w:bidi="en-US"/>
              </w:rPr>
              <w:t>(1)Исправление арифметических ошибок</w:t>
            </w:r>
          </w:p>
          <w:p>
            <w:pPr>
              <w:spacing w:line="240" w:lineRule="auto"/>
              <w:ind w:firstLine="0" w:firstLineChars="0"/>
              <w:jc w:val="both"/>
              <w:rPr>
                <w:rFonts w:ascii="Times New Roman" w:hAnsi="Times New Roman" w:cs="Times New Roman"/>
              </w:rPr>
            </w:pPr>
            <w:r>
              <w:rPr>
                <w:rFonts w:ascii="Times New Roman" w:hAnsi="Times New Roman" w:eastAsia="楷体" w:cs="Times New Roman"/>
                <w:lang w:val="ru-RU" w:bidi="en-US"/>
              </w:rPr>
              <w:t xml:space="preserve">Если в окончательном отклике поставщика найдены арифметические ошибки, оценочная комиссия исправит их в следующем порядке и по следующим принципам, при этом исправленная цена будет действовать после письменного подтверждения со стороны поставщика. </w:t>
            </w:r>
            <w:r>
              <w:rPr>
                <w:rFonts w:ascii="Times New Roman" w:hAnsi="Times New Roman" w:eastAsia="楷体" w:cs="Times New Roman"/>
                <w:lang w:bidi="en-US"/>
              </w:rPr>
              <w:t>Если поставщик не подтверждает исправленную цену, его предложение отклоняется.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927" w:type="dxa"/>
          </w:tcPr>
          <w:p>
            <w:pPr>
              <w:ind w:firstLine="0" w:firstLineChars="0"/>
              <w:rPr>
                <w:rFonts w:ascii="楷体" w:hAnsi="楷体" w:eastAsia="楷体"/>
                <w:lang w:eastAsia="zh-CN"/>
              </w:rPr>
            </w:pPr>
            <w:r>
              <w:rPr>
                <w:rFonts w:hint="eastAsia" w:ascii="楷体" w:hAnsi="楷体" w:eastAsia="楷体"/>
                <w:lang w:eastAsia="zh-CN" w:bidi="en-US"/>
              </w:rPr>
              <w:t>1）最终响应报价以最后一轮报价开启时价格信息为准；如果最后一轮报价开启时价格信息和最后一轮提交的响应文件中的响应文件不一致的，以最后一轮报价开启时价格信息为准，作为最终响应价格（如果最后一轮报价开启时价格信息异常偏离正常价格，经评审小组认定可能是因为书写错误导致的，可以向供应商进行书面澄清，并依据书面澄清结果确定最终响应价格）。</w:t>
            </w:r>
          </w:p>
        </w:tc>
        <w:tc>
          <w:tcPr>
            <w:tcW w:w="4927" w:type="dxa"/>
            <w:vAlign w:val="center"/>
          </w:tcPr>
          <w:p>
            <w:pPr>
              <w:spacing w:line="240" w:lineRule="auto"/>
              <w:ind w:firstLine="0" w:firstLineChars="0"/>
              <w:jc w:val="both"/>
              <w:rPr>
                <w:rFonts w:ascii="Times New Roman" w:hAnsi="Times New Roman" w:cs="Times New Roman"/>
                <w:lang w:val="ru-RU"/>
              </w:rPr>
            </w:pPr>
            <w:r>
              <w:rPr>
                <w:rFonts w:ascii="Times New Roman" w:hAnsi="Times New Roman" w:eastAsia="楷体" w:cs="Times New Roman"/>
                <w:lang w:val="ru-RU" w:bidi="en-US"/>
              </w:rPr>
              <w:t>1)Окончательная цена отклика определяется на основе информации о ценах на момент открытия последнего раунда предложений; если информация о ценах в последнем раунде отклика не совпадает с информацией в отклике, будет использована информация, предоставленная на момент открытия раунда. Если цена в последнем раунде отклика сильно отклоняется от нормальной, комиссия может запросить у поставщика письменное разъяснение.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927" w:type="dxa"/>
          </w:tcPr>
          <w:p>
            <w:pPr>
              <w:ind w:firstLine="0" w:firstLineChars="0"/>
              <w:jc w:val="both"/>
              <w:rPr>
                <w:rFonts w:ascii="楷体" w:hAnsi="楷体" w:eastAsia="楷体"/>
                <w:lang w:eastAsia="zh-CN"/>
              </w:rPr>
            </w:pPr>
            <w:r>
              <w:rPr>
                <w:rFonts w:hint="eastAsia" w:ascii="楷体" w:hAnsi="楷体" w:eastAsia="楷体"/>
                <w:lang w:eastAsia="zh-CN" w:bidi="en-US"/>
              </w:rPr>
              <w:t>2）最终响应文件中的大写金额与小写金额不一致的，以大写金额为准（但明显的文字书写错误和金额单位错误除外）。</w:t>
            </w:r>
          </w:p>
        </w:tc>
        <w:tc>
          <w:tcPr>
            <w:tcW w:w="4927" w:type="dxa"/>
            <w:vAlign w:val="center"/>
          </w:tcPr>
          <w:p>
            <w:pPr>
              <w:spacing w:line="240" w:lineRule="auto"/>
              <w:ind w:firstLine="0" w:firstLineChars="0"/>
              <w:jc w:val="both"/>
              <w:rPr>
                <w:rFonts w:ascii="Times New Roman" w:hAnsi="Times New Roman" w:cs="Times New Roman"/>
                <w:lang w:val="ru-RU"/>
              </w:rPr>
            </w:pPr>
            <w:r>
              <w:rPr>
                <w:rFonts w:ascii="Times New Roman" w:hAnsi="Times New Roman" w:eastAsia="楷体" w:cs="Times New Roman"/>
                <w:lang w:val="ru-RU" w:bidi="en-US"/>
              </w:rPr>
              <w:t>2)В случае расхождения между прописанной и числовой суммой в окончательном отклике, действительной считается прописанная сумма (за исключением очевидных ошибок в написании или ошибочных единиц измерений).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927" w:type="dxa"/>
          </w:tcPr>
          <w:p>
            <w:pPr>
              <w:ind w:firstLine="0" w:firstLineChars="0"/>
              <w:rPr>
                <w:rFonts w:ascii="楷体" w:hAnsi="楷体" w:eastAsia="楷体"/>
                <w:lang w:eastAsia="zh-CN"/>
              </w:rPr>
            </w:pPr>
            <w:r>
              <w:rPr>
                <w:rFonts w:hint="eastAsia" w:ascii="楷体" w:hAnsi="楷体" w:eastAsia="楷体"/>
                <w:lang w:eastAsia="zh-CN" w:bidi="en-US"/>
              </w:rPr>
              <w:t>3）最终响应文件中的总价金额与单价金额不一致的，以单价金额为准，但单价金额小数点或者百分比有明显错误的除外。</w:t>
            </w:r>
          </w:p>
        </w:tc>
        <w:tc>
          <w:tcPr>
            <w:tcW w:w="4927" w:type="dxa"/>
            <w:vAlign w:val="center"/>
          </w:tcPr>
          <w:p>
            <w:pPr>
              <w:spacing w:line="240" w:lineRule="auto"/>
              <w:ind w:firstLine="0" w:firstLineChars="0"/>
              <w:jc w:val="both"/>
              <w:rPr>
                <w:rFonts w:ascii="Times New Roman" w:hAnsi="Times New Roman" w:cs="Times New Roman"/>
                <w:lang w:val="ru-RU"/>
              </w:rPr>
            </w:pPr>
            <w:r>
              <w:rPr>
                <w:rFonts w:ascii="Times New Roman" w:hAnsi="Times New Roman" w:eastAsia="楷体" w:cs="Times New Roman"/>
                <w:lang w:val="ru-RU" w:bidi="en-US"/>
              </w:rPr>
              <w:t>3)Если сумма в окончательном отклике не совпадает с суммой отдельных позиций, применяется сумма отдельных позиций.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927" w:type="dxa"/>
          </w:tcPr>
          <w:p>
            <w:pPr>
              <w:ind w:firstLine="0" w:firstLineChars="0"/>
              <w:rPr>
                <w:rFonts w:ascii="楷体" w:hAnsi="楷体" w:eastAsia="楷体"/>
                <w:lang w:eastAsia="zh-CN"/>
              </w:rPr>
            </w:pPr>
            <w:r>
              <w:rPr>
                <w:rFonts w:hint="eastAsia" w:ascii="楷体" w:hAnsi="楷体" w:eastAsia="楷体"/>
                <w:lang w:eastAsia="zh-CN" w:bidi="en-US"/>
              </w:rPr>
              <w:t>4）最终响应文件中的合价金额与分项金额不一致的，以分项金额为准。</w:t>
            </w:r>
          </w:p>
        </w:tc>
        <w:tc>
          <w:tcPr>
            <w:tcW w:w="4927" w:type="dxa"/>
            <w:vAlign w:val="center"/>
          </w:tcPr>
          <w:p>
            <w:pPr>
              <w:spacing w:line="240" w:lineRule="auto"/>
              <w:ind w:firstLine="0" w:firstLineChars="0"/>
              <w:jc w:val="both"/>
              <w:rPr>
                <w:rFonts w:ascii="Times New Roman" w:hAnsi="Times New Roman" w:cs="Times New Roman"/>
                <w:lang w:val="ru-RU"/>
              </w:rPr>
            </w:pPr>
            <w:r>
              <w:rPr>
                <w:rFonts w:ascii="Times New Roman" w:hAnsi="Times New Roman" w:eastAsia="楷体" w:cs="Times New Roman"/>
                <w:lang w:val="ru-RU" w:bidi="en-US"/>
              </w:rPr>
              <w:t>4)Если общая сумма в окончательном отклике не совпадает с суммой отдельных позиций, применяется сумма отдельных позиций.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927" w:type="dxa"/>
          </w:tcPr>
          <w:p>
            <w:pPr>
              <w:ind w:firstLine="0" w:firstLineChars="0"/>
              <w:rPr>
                <w:rFonts w:ascii="Calibri" w:hAnsi="Calibri" w:eastAsia="楷体"/>
                <w:lang w:eastAsia="zh-CN" w:bidi="en-US"/>
              </w:rPr>
            </w:pPr>
            <w:r>
              <w:rPr>
                <w:rFonts w:hint="eastAsia" w:ascii="楷体" w:hAnsi="楷体" w:eastAsia="楷体"/>
                <w:lang w:eastAsia="zh-CN" w:bidi="en-US"/>
              </w:rPr>
              <w:t>（2）评审价格修正最终响应文件中的报价清单与公开谈判采购范围相比存在少报、漏报时，评审小组向供应商发送其最终响应报价已包含全部采购范围的书面确认，供应商书面回复确认后,作为签订合同依据；供应商不予书面确认的，否决其响应报价。超出采购股范围多报的，评审小组向供应商发送其最终响应报价采购招标范围内容的书面确认，供应商书面回复确认后,签订合同时则从最终响应报价中扣除多报超出报价范围部分的报价，供应商不予书面确认的，否决其最终响应报价。评审小组对少报、漏报、多报情形按照如下原则进行修正：</w:t>
            </w:r>
          </w:p>
        </w:tc>
        <w:tc>
          <w:tcPr>
            <w:tcW w:w="4927" w:type="dxa"/>
            <w:vAlign w:val="center"/>
          </w:tcPr>
          <w:p>
            <w:pPr>
              <w:spacing w:line="240" w:lineRule="auto"/>
              <w:ind w:firstLine="0" w:firstLineChars="0"/>
              <w:jc w:val="both"/>
              <w:rPr>
                <w:rFonts w:ascii="Times New Roman" w:hAnsi="Times New Roman" w:cs="Times New Roman"/>
                <w:lang w:val="ru-RU" w:bidi="en-US"/>
              </w:rPr>
            </w:pPr>
            <w:r>
              <w:rPr>
                <w:rFonts w:ascii="Times New Roman" w:hAnsi="Times New Roman" w:cs="Times New Roman"/>
                <w:lang w:val="ru-RU" w:bidi="en-US"/>
              </w:rPr>
              <w:t>（2）</w:t>
            </w:r>
            <w:r>
              <w:rPr>
                <w:rFonts w:ascii="Times New Roman" w:hAnsi="Times New Roman" w:eastAsia="楷体" w:cs="Times New Roman"/>
                <w:lang w:val="ru-RU" w:bidi="en-US"/>
              </w:rPr>
              <w:t>Коррекция оценки цены</w:t>
            </w:r>
          </w:p>
          <w:p>
            <w:pPr>
              <w:spacing w:line="240" w:lineRule="auto"/>
              <w:ind w:firstLine="0" w:firstLineChars="0"/>
              <w:jc w:val="both"/>
              <w:rPr>
                <w:rFonts w:ascii="Times New Roman" w:hAnsi="Times New Roman" w:cs="Times New Roman"/>
                <w:lang w:val="ru-RU"/>
              </w:rPr>
            </w:pPr>
            <w:r>
              <w:rPr>
                <w:rFonts w:ascii="Times New Roman" w:hAnsi="Times New Roman" w:eastAsia="楷体" w:cs="Times New Roman"/>
                <w:lang w:val="ru-RU" w:bidi="en-US"/>
              </w:rPr>
              <w:t>Если в итоговом отклике список цен не соответствует заявленному объему закупки, и если имеются недоучтенные или пропущенные позиции, комиссия отправит поставщику письменное подтверждение, что его итоговая цена включает весь объем закупки, и, после получения письменного подтверждения от поставщика, это будет основой для заключения контракта. Если поставщик не предоставит письменное подтверждение, его отклик будет отклонен. Если в отклике указана завышенная цена по сравнению с указанным объемом закупки, комиссия отправит поставщику письменное подтверждение, что его итоговая цена соответствует объемам и содержанию закупки, и, после получения письменного подтверждения от поставщика, при заключении контракта будет вычтена из общей суммы завышенная часть. Если поставщик не предоставит письменное подтверждение, его отклик будет отклонен. Комиссия будет исправлять недоучтенные, пропущенные или завышенные позиции в отклике согласно следующим принципам: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927" w:type="dxa"/>
          </w:tcPr>
          <w:p>
            <w:pPr>
              <w:ind w:firstLine="0" w:firstLineChars="0"/>
              <w:rPr>
                <w:rFonts w:ascii="楷体" w:hAnsi="楷体" w:eastAsia="楷体"/>
                <w:lang w:eastAsia="zh-CN"/>
              </w:rPr>
            </w:pPr>
            <w:r>
              <w:rPr>
                <w:rFonts w:hint="eastAsia" w:ascii="楷体" w:hAnsi="楷体" w:eastAsia="楷体"/>
                <w:lang w:eastAsia="zh-CN" w:bidi="en-US"/>
              </w:rPr>
              <w:t>1）存在漏报、少报采购内容（或数量）时，对于漏报，按照其他供应商最终响应报价中最高价或最不利于其成交的原则进行调整；对于少报，依据其报价和采购内容调整；</w:t>
            </w:r>
          </w:p>
        </w:tc>
        <w:tc>
          <w:tcPr>
            <w:tcW w:w="4927" w:type="dxa"/>
            <w:vAlign w:val="center"/>
          </w:tcPr>
          <w:p>
            <w:pPr>
              <w:spacing w:line="240" w:lineRule="auto"/>
              <w:ind w:firstLine="0" w:firstLineChars="0"/>
              <w:jc w:val="both"/>
              <w:rPr>
                <w:rFonts w:ascii="Times New Roman" w:hAnsi="Times New Roman" w:cs="Times New Roman"/>
                <w:lang w:val="ru-RU"/>
              </w:rPr>
            </w:pPr>
            <w:r>
              <w:rPr>
                <w:rFonts w:ascii="Times New Roman" w:hAnsi="Times New Roman" w:cs="Times New Roman"/>
                <w:lang w:val="ru-RU"/>
              </w:rPr>
              <w:t>1)</w:t>
            </w:r>
            <w:r>
              <w:rPr>
                <w:rFonts w:ascii="Times New Roman" w:hAnsi="Times New Roman" w:eastAsia="楷体" w:cs="Times New Roman"/>
                <w:lang w:val="ru-RU" w:bidi="en-US"/>
              </w:rPr>
              <w:t>Если имеются пропущенные или недооцененные позиции закупки (или количество), для недооцененных позиций будет применяться цена, предложенная другими поставщиками в их окончательных откликах, в пользу наименее выгодного для поставщика варианта. Для недоучтенных позиций будет произведена корректировка на основании предложения поставщика и объема закупки.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927" w:type="dxa"/>
          </w:tcPr>
          <w:p>
            <w:pPr>
              <w:ind w:firstLine="0" w:firstLineChars="0"/>
              <w:rPr>
                <w:rFonts w:ascii="楷体" w:hAnsi="楷体" w:eastAsia="楷体"/>
                <w:lang w:eastAsia="zh-CN"/>
              </w:rPr>
            </w:pPr>
            <w:r>
              <w:rPr>
                <w:rFonts w:hint="eastAsia" w:ascii="楷体" w:hAnsi="楷体" w:eastAsia="楷体"/>
                <w:lang w:eastAsia="zh-CN" w:bidi="en-US"/>
              </w:rPr>
              <w:t>2）存在超出采购人采购内容（或数量）多报的，则按照采购范围，依据其报价进行调整。</w:t>
            </w:r>
          </w:p>
        </w:tc>
        <w:tc>
          <w:tcPr>
            <w:tcW w:w="4927" w:type="dxa"/>
            <w:vAlign w:val="center"/>
          </w:tcPr>
          <w:p>
            <w:pPr>
              <w:spacing w:line="240" w:lineRule="auto"/>
              <w:ind w:firstLine="0" w:firstLineChars="0"/>
              <w:jc w:val="both"/>
              <w:rPr>
                <w:rFonts w:ascii="Times New Roman" w:hAnsi="Times New Roman" w:cs="Times New Roman"/>
                <w:lang w:val="ru-RU"/>
              </w:rPr>
            </w:pPr>
            <w:r>
              <w:rPr>
                <w:rFonts w:ascii="Times New Roman" w:hAnsi="Times New Roman" w:cs="Times New Roman"/>
                <w:lang w:val="ru-RU"/>
              </w:rPr>
              <w:t>2)</w:t>
            </w:r>
            <w:r>
              <w:rPr>
                <w:rFonts w:ascii="Times New Roman" w:hAnsi="Times New Roman" w:eastAsia="楷体" w:cs="Times New Roman"/>
                <w:lang w:val="ru-RU" w:bidi="en-US"/>
              </w:rPr>
              <w:t>Если имеется завышенная цена или количество, превышающее заявленный объем закупки, будет произведена корректировка согласно объему закупки на основе предложенной цены.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927" w:type="dxa"/>
          </w:tcPr>
          <w:p>
            <w:pPr>
              <w:ind w:firstLine="0" w:firstLineChars="0"/>
              <w:rPr>
                <w:rFonts w:ascii="楷体" w:hAnsi="楷体" w:eastAsia="楷体"/>
                <w:lang w:eastAsia="zh-CN" w:bidi="en-US"/>
              </w:rPr>
            </w:pPr>
            <w:r>
              <w:rPr>
                <w:rFonts w:hint="eastAsia" w:ascii="楷体" w:hAnsi="楷体" w:eastAsia="楷体"/>
                <w:lang w:eastAsia="zh-CN" w:bidi="en-US"/>
              </w:rPr>
              <w:t>（3）判断最终响应报价是否低于成本</w:t>
            </w:r>
          </w:p>
          <w:p>
            <w:pPr>
              <w:ind w:firstLine="0" w:firstLineChars="0"/>
              <w:rPr>
                <w:rFonts w:ascii="楷体" w:hAnsi="楷体" w:eastAsia="楷体"/>
                <w:lang w:eastAsia="zh-CN"/>
              </w:rPr>
            </w:pPr>
            <w:r>
              <w:rPr>
                <w:rFonts w:hint="eastAsia" w:ascii="楷体" w:hAnsi="楷体" w:eastAsia="楷体"/>
                <w:lang w:eastAsia="zh-CN" w:bidi="en-US"/>
              </w:rPr>
              <w:t>评审小组发现供应商的最终响应报价明显低于其他供应商最终响应报价，或者在设有标底时明显低于标底，使得其最终响应报价可能低于其个别成本的，应当要求该供应商作出书面说明或者提供相应的证明材料。供应商不能合理说明或者不能提供相应证明材料的，由评审小组认定该供应商最终响应报价低于成本报价，按否决其投标处理。</w:t>
            </w:r>
          </w:p>
        </w:tc>
        <w:tc>
          <w:tcPr>
            <w:tcW w:w="4927" w:type="dxa"/>
            <w:vAlign w:val="center"/>
          </w:tcPr>
          <w:p>
            <w:pPr>
              <w:spacing w:line="240" w:lineRule="auto"/>
              <w:ind w:firstLine="0" w:firstLineChars="0"/>
              <w:jc w:val="both"/>
              <w:rPr>
                <w:rFonts w:ascii="Times New Roman" w:hAnsi="Times New Roman" w:eastAsia="楷体" w:cs="Times New Roman"/>
                <w:lang w:val="ru-RU" w:bidi="en-US"/>
              </w:rPr>
            </w:pPr>
            <w:r>
              <w:rPr>
                <w:rFonts w:ascii="Times New Roman" w:hAnsi="Times New Roman" w:eastAsia="楷体" w:cs="Times New Roman"/>
                <w:lang w:val="ru-RU" w:bidi="en-US"/>
              </w:rPr>
              <w:t xml:space="preserve">(3)Оценка, является ли итоговая цена отклика ниже себестоимости: </w:t>
            </w:r>
          </w:p>
          <w:p>
            <w:pPr>
              <w:spacing w:line="240" w:lineRule="auto"/>
              <w:ind w:firstLine="0" w:firstLineChars="0"/>
              <w:jc w:val="both"/>
              <w:rPr>
                <w:rFonts w:ascii="Times New Roman" w:hAnsi="Times New Roman" w:cs="Times New Roman"/>
                <w:lang w:val="ru-RU"/>
              </w:rPr>
            </w:pPr>
            <w:r>
              <w:rPr>
                <w:rFonts w:ascii="Times New Roman" w:hAnsi="Times New Roman" w:eastAsia="楷体" w:cs="Times New Roman"/>
                <w:lang w:val="ru-RU" w:bidi="en-US"/>
              </w:rPr>
              <w:t>Если комиссия обнаружит, что цена итогового отклика поставщика значительно ниже цены других поставщиков или ниже установленной минимальной цены, что может привести к цене ниже себестоимости для этого поставщика, комиссия потребует от поставщика письменное разъяснение и соответствующие доказательства. Если поставщик не может предоставить разумные объяснения или доказательства, комиссия определит, что цена отклика ниже себестоимости, и отклонит его предложение.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927" w:type="dxa"/>
          </w:tcPr>
          <w:p>
            <w:pPr>
              <w:ind w:firstLine="0" w:firstLineChars="0"/>
              <w:rPr>
                <w:rFonts w:ascii="楷体" w:hAnsi="楷体" w:eastAsia="楷体"/>
                <w:lang w:eastAsia="zh-CN" w:bidi="en-US"/>
              </w:rPr>
            </w:pPr>
            <w:r>
              <w:rPr>
                <w:rFonts w:hint="eastAsia" w:ascii="楷体" w:hAnsi="楷体" w:eastAsia="楷体"/>
                <w:lang w:eastAsia="zh-CN" w:bidi="en-US"/>
              </w:rPr>
              <w:t>（4）供应商应按采购文件规定的币种进行报价</w:t>
            </w:r>
          </w:p>
          <w:p>
            <w:pPr>
              <w:ind w:firstLine="0" w:firstLineChars="0"/>
              <w:rPr>
                <w:rFonts w:ascii="楷体" w:hAnsi="楷体" w:eastAsia="楷体"/>
                <w:lang w:eastAsia="zh-CN"/>
              </w:rPr>
            </w:pPr>
            <w:r>
              <w:rPr>
                <w:rFonts w:hint="eastAsia" w:ascii="楷体" w:hAnsi="楷体" w:eastAsia="楷体"/>
                <w:lang w:eastAsia="zh-CN" w:bidi="en-US"/>
              </w:rPr>
              <w:t>若报价币种与采购文件规定不符，则对各供应商提供的不同币种的报价按开启报价前一天哈萨克斯坦共和国银行发布的人民币与坚戈的汇率，汇率风险由供应商自行承担。</w:t>
            </w:r>
          </w:p>
        </w:tc>
        <w:tc>
          <w:tcPr>
            <w:tcW w:w="4927" w:type="dxa"/>
            <w:vAlign w:val="center"/>
          </w:tcPr>
          <w:p>
            <w:pPr>
              <w:spacing w:line="240" w:lineRule="auto"/>
              <w:ind w:firstLine="0" w:firstLineChars="0"/>
              <w:jc w:val="both"/>
              <w:rPr>
                <w:rFonts w:ascii="Times New Roman" w:hAnsi="Times New Roman" w:eastAsia="楷体" w:cs="Times New Roman"/>
                <w:lang w:val="ru-RU" w:bidi="en-US"/>
              </w:rPr>
            </w:pPr>
            <w:r>
              <w:rPr>
                <w:rFonts w:ascii="Times New Roman" w:hAnsi="Times New Roman" w:eastAsia="楷体" w:cs="Times New Roman"/>
                <w:lang w:val="ru-RU" w:bidi="en-US"/>
              </w:rPr>
              <w:t xml:space="preserve">(4)Поставщик должен указать цену в валюте, указанной в документации: </w:t>
            </w:r>
          </w:p>
          <w:p>
            <w:pPr>
              <w:spacing w:line="240" w:lineRule="auto"/>
              <w:ind w:firstLine="0" w:firstLineChars="0"/>
              <w:jc w:val="both"/>
              <w:rPr>
                <w:rFonts w:ascii="Times New Roman" w:hAnsi="Times New Roman" w:cs="Times New Roman"/>
                <w:lang w:val="ru-RU"/>
              </w:rPr>
            </w:pPr>
            <w:r>
              <w:rPr>
                <w:rFonts w:ascii="Times New Roman" w:hAnsi="Times New Roman" w:eastAsia="楷体" w:cs="Times New Roman"/>
                <w:lang w:val="ru-RU" w:bidi="en-US"/>
              </w:rPr>
              <w:t>Если валюта, в которой указана цена, не соответствует указанной в документации, комиссия пересчитает все предложения поставщиков в требуемую валюту по обменному курсу, установленному Народным банком Китая на день, предшествующий открытию предложений, с учетом валютного риска, который несет поставщик.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927" w:type="dxa"/>
          </w:tcPr>
          <w:p>
            <w:pPr>
              <w:ind w:firstLine="0" w:firstLineChars="0"/>
              <w:rPr>
                <w:rFonts w:ascii="楷体" w:hAnsi="楷体" w:eastAsia="楷体"/>
              </w:rPr>
            </w:pPr>
            <w:r>
              <w:rPr>
                <w:rFonts w:hint="eastAsia" w:ascii="楷体" w:hAnsi="楷体" w:eastAsia="楷体"/>
                <w:b/>
                <w:bCs/>
              </w:rPr>
              <w:t xml:space="preserve">3.4 </w:t>
            </w:r>
            <w:r>
              <w:rPr>
                <w:rFonts w:ascii="楷体" w:hAnsi="楷体" w:eastAsia="楷体" w:cs="Times New Roman Regular"/>
                <w:b/>
                <w:bCs/>
              </w:rPr>
              <w:t>评审结果</w:t>
            </w:r>
          </w:p>
        </w:tc>
        <w:tc>
          <w:tcPr>
            <w:tcW w:w="4927" w:type="dxa"/>
            <w:vAlign w:val="center"/>
          </w:tcPr>
          <w:p>
            <w:pPr>
              <w:spacing w:line="240" w:lineRule="auto"/>
              <w:ind w:firstLine="0" w:firstLineChars="0"/>
              <w:jc w:val="both"/>
              <w:rPr>
                <w:rFonts w:ascii="Times New Roman" w:hAnsi="Times New Roman" w:cs="Times New Roman"/>
              </w:rPr>
            </w:pPr>
            <w:r>
              <w:rPr>
                <w:rFonts w:ascii="Times New Roman" w:hAnsi="Times New Roman" w:eastAsia="楷体" w:cs="Times New Roman"/>
                <w:b/>
                <w:bCs/>
              </w:rPr>
              <w:t>3.4 Результаты оценки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927" w:type="dxa"/>
          </w:tcPr>
          <w:p>
            <w:pPr>
              <w:ind w:firstLine="0" w:firstLineChars="0"/>
              <w:jc w:val="both"/>
              <w:rPr>
                <w:rFonts w:ascii="楷体" w:hAnsi="楷体" w:eastAsia="楷体"/>
                <w:lang w:eastAsia="zh-CN" w:bidi="en-US"/>
              </w:rPr>
            </w:pPr>
            <w:r>
              <w:rPr>
                <w:rFonts w:hint="eastAsia" w:ascii="楷体" w:hAnsi="楷体" w:eastAsia="楷体"/>
                <w:lang w:eastAsia="zh-CN" w:bidi="en-US"/>
              </w:rPr>
              <w:t>3.4.1 评审小组将按照评审办法前附表规定的顺序推荐预成交供应商。</w:t>
            </w:r>
          </w:p>
          <w:p>
            <w:pPr>
              <w:ind w:firstLine="0" w:firstLineChars="0"/>
              <w:jc w:val="both"/>
              <w:rPr>
                <w:rFonts w:ascii="楷体" w:hAnsi="楷体" w:eastAsia="楷体"/>
                <w:lang w:eastAsia="zh-CN"/>
              </w:rPr>
            </w:pPr>
          </w:p>
        </w:tc>
        <w:tc>
          <w:tcPr>
            <w:tcW w:w="4927" w:type="dxa"/>
            <w:vAlign w:val="center"/>
          </w:tcPr>
          <w:p>
            <w:pPr>
              <w:spacing w:line="240" w:lineRule="auto"/>
              <w:ind w:firstLine="0" w:firstLineChars="0"/>
              <w:jc w:val="both"/>
              <w:rPr>
                <w:rFonts w:ascii="Times New Roman" w:hAnsi="Times New Roman" w:cs="Times New Roman"/>
                <w:lang w:val="ru-RU"/>
              </w:rPr>
            </w:pPr>
            <w:r>
              <w:rPr>
                <w:rFonts w:ascii="Times New Roman" w:hAnsi="Times New Roman" w:cs="Times New Roman"/>
                <w:lang w:val="ru-RU"/>
              </w:rPr>
              <w:t xml:space="preserve">3.4.1 </w:t>
            </w:r>
            <w:r>
              <w:rPr>
                <w:rFonts w:ascii="Times New Roman" w:hAnsi="Times New Roman" w:eastAsia="楷体" w:cs="Times New Roman"/>
                <w:lang w:val="ru-RU" w:bidi="en-US"/>
              </w:rPr>
              <w:t>Оценочная комиссия будет рекомендовать предварительного победителя в соответствии с порядком, установленным в приложении к методике оценки.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927" w:type="dxa"/>
          </w:tcPr>
          <w:p>
            <w:pPr>
              <w:ind w:firstLine="0" w:firstLineChars="0"/>
              <w:rPr>
                <w:rFonts w:ascii="楷体" w:hAnsi="楷体" w:eastAsia="楷体"/>
                <w:lang w:eastAsia="zh-CN"/>
              </w:rPr>
            </w:pPr>
            <w:r>
              <w:rPr>
                <w:rFonts w:hint="eastAsia" w:ascii="楷体" w:hAnsi="楷体" w:eastAsia="楷体"/>
                <w:lang w:eastAsia="zh-CN" w:bidi="en-US"/>
              </w:rPr>
              <w:t>3.4.2 评审小组完成评审后，应当向采购人提交书面评审报告。</w:t>
            </w:r>
          </w:p>
        </w:tc>
        <w:tc>
          <w:tcPr>
            <w:tcW w:w="4927" w:type="dxa"/>
            <w:vAlign w:val="center"/>
          </w:tcPr>
          <w:p>
            <w:pPr>
              <w:spacing w:line="240" w:lineRule="auto"/>
              <w:ind w:firstLine="0" w:firstLineChars="0"/>
              <w:jc w:val="both"/>
              <w:rPr>
                <w:rFonts w:ascii="Times New Roman" w:hAnsi="Times New Roman" w:cs="Times New Roman"/>
                <w:lang w:val="ru-RU"/>
              </w:rPr>
            </w:pPr>
            <w:r>
              <w:rPr>
                <w:rFonts w:ascii="Times New Roman" w:hAnsi="Times New Roman" w:cs="Times New Roman"/>
                <w:lang w:val="ru-RU"/>
              </w:rPr>
              <w:t xml:space="preserve">3.4.2 </w:t>
            </w:r>
            <w:r>
              <w:rPr>
                <w:rFonts w:ascii="Times New Roman" w:hAnsi="Times New Roman" w:eastAsia="楷体" w:cs="Times New Roman"/>
                <w:lang w:val="ru-RU" w:bidi="en-US"/>
              </w:rPr>
              <w:t>По завершении оценки, оценочная комиссия должна представить письменный отчет о результатах оценки заказчику.</w:t>
            </w:r>
          </w:p>
        </w:tc>
      </w:tr>
    </w:tbl>
    <w:p>
      <w:pPr>
        <w:ind w:firstLine="480"/>
        <w:rPr>
          <w:lang w:val="ru-RU"/>
        </w:rPr>
      </w:pPr>
    </w:p>
    <w:p>
      <w:pPr>
        <w:spacing w:before="120"/>
        <w:ind w:firstLine="480"/>
        <w:rPr>
          <w:rFonts w:ascii="Times New Roman" w:hAnsi="Times New Roman" w:cs="Times New Roman"/>
          <w:szCs w:val="24"/>
          <w:lang w:val="ru-RU" w:bidi="en-US"/>
        </w:rPr>
        <w:sectPr>
          <w:footerReference r:id="rId11" w:type="default"/>
          <w:type w:val="continuous"/>
          <w:pgSz w:w="11907" w:h="16839"/>
          <w:pgMar w:top="1797" w:right="1440" w:bottom="1797" w:left="1440" w:header="1021" w:footer="851" w:gutter="0"/>
          <w:cols w:space="720" w:num="1"/>
          <w:docGrid w:linePitch="299" w:charSpace="0"/>
        </w:sectPr>
      </w:pPr>
    </w:p>
    <w:bookmarkEnd w:id="62"/>
    <w:bookmarkEnd w:id="63"/>
    <w:bookmarkEnd w:id="64"/>
    <w:bookmarkEnd w:id="65"/>
    <w:bookmarkEnd w:id="66"/>
    <w:bookmarkEnd w:id="67"/>
    <w:bookmarkEnd w:id="68"/>
    <w:bookmarkEnd w:id="69"/>
    <w:p>
      <w:pPr>
        <w:pStyle w:val="4"/>
        <w:numPr>
          <w:ilvl w:val="0"/>
          <w:numId w:val="3"/>
        </w:numPr>
        <w:spacing w:before="120" w:beforeLines="50" w:line="360" w:lineRule="auto"/>
        <w:ind w:left="0"/>
        <w:rPr>
          <w:rFonts w:ascii="Times New Roman" w:hAnsi="Times New Roman" w:cs="Times New Roman"/>
          <w:kern w:val="44"/>
          <w:szCs w:val="36"/>
          <w:lang w:eastAsia="zh-CN"/>
        </w:rPr>
      </w:pPr>
      <w:bookmarkStart w:id="88" w:name="_Toc3474894"/>
      <w:bookmarkStart w:id="89" w:name="_Toc28355"/>
      <w:bookmarkStart w:id="90" w:name="_Toc24853"/>
      <w:bookmarkStart w:id="91" w:name="_Toc29334"/>
      <w:bookmarkStart w:id="92" w:name="_Toc8296"/>
      <w:bookmarkStart w:id="93" w:name="_Toc24791"/>
      <w:bookmarkStart w:id="94" w:name="_Toc23163"/>
      <w:bookmarkStart w:id="95" w:name="_Toc14514"/>
      <w:r>
        <w:rPr>
          <w:rFonts w:hint="eastAsia" w:ascii="Times New Roman" w:hAnsi="Times New Roman" w:cs="Times New Roman"/>
          <w:kern w:val="44"/>
          <w:szCs w:val="36"/>
          <w:lang w:val="ru-RU" w:eastAsia="zh-CN"/>
        </w:rPr>
        <w:t xml:space="preserve"> </w:t>
      </w:r>
      <w:r>
        <w:rPr>
          <w:rFonts w:ascii="Times New Roman" w:hAnsi="Times New Roman" w:cs="Times New Roman"/>
          <w:kern w:val="44"/>
          <w:szCs w:val="36"/>
          <w:lang w:eastAsia="zh-CN"/>
        </w:rPr>
        <w:t>合同条款及格式</w:t>
      </w:r>
      <w:bookmarkEnd w:id="88"/>
      <w:bookmarkEnd w:id="89"/>
      <w:bookmarkEnd w:id="90"/>
      <w:bookmarkEnd w:id="91"/>
      <w:bookmarkEnd w:id="92"/>
      <w:bookmarkEnd w:id="93"/>
      <w:bookmarkEnd w:id="94"/>
      <w:bookmarkEnd w:id="95"/>
    </w:p>
    <w:p>
      <w:pPr>
        <w:ind w:firstLine="0" w:firstLineChars="0"/>
        <w:jc w:val="center"/>
        <w:rPr>
          <w:rFonts w:ascii="Times New Roman" w:hAnsi="Times New Roman" w:cs="Times New Roman"/>
          <w:b/>
          <w:bCs/>
          <w:sz w:val="36"/>
          <w:szCs w:val="32"/>
          <w:lang w:eastAsia="zh-CN"/>
        </w:rPr>
      </w:pPr>
      <w:r>
        <w:rPr>
          <w:rFonts w:ascii="Times New Roman" w:hAnsi="Times New Roman" w:cs="Times New Roman"/>
          <w:b/>
          <w:bCs/>
          <w:sz w:val="36"/>
          <w:szCs w:val="32"/>
          <w:lang w:eastAsia="zh-CN"/>
        </w:rPr>
        <w:t>Глава 4. Условия и формы контракта</w:t>
      </w:r>
    </w:p>
    <w:p>
      <w:pPr>
        <w:ind w:firstLine="0" w:firstLineChars="0"/>
        <w:rPr>
          <w:rFonts w:ascii="Times New Roman" w:hAnsi="Times New Roman" w:cs="Times New Roman"/>
          <w:kern w:val="44"/>
          <w:szCs w:val="36"/>
          <w:lang w:eastAsia="zh-CN"/>
        </w:rPr>
      </w:pPr>
    </w:p>
    <w:p>
      <w:pPr>
        <w:widowControl/>
        <w:adjustRightInd/>
        <w:snapToGrid/>
        <w:spacing w:line="240" w:lineRule="auto"/>
        <w:ind w:firstLine="0" w:firstLineChars="0"/>
        <w:jc w:val="center"/>
        <w:rPr>
          <w:rFonts w:ascii="Times New Roman" w:hAnsi="Times New Roman" w:cs="Times New Roman"/>
          <w:szCs w:val="24"/>
          <w:lang w:eastAsia="zh-CN"/>
        </w:rPr>
      </w:pPr>
      <w:bookmarkStart w:id="96" w:name="_Toc27009"/>
      <w:bookmarkStart w:id="97" w:name="_Toc20508"/>
      <w:bookmarkStart w:id="98" w:name="_Toc10730"/>
      <w:bookmarkStart w:id="99" w:name="_Toc11576"/>
      <w:bookmarkStart w:id="100" w:name="_Toc22718055"/>
      <w:bookmarkStart w:id="101" w:name="_Toc18785"/>
      <w:bookmarkStart w:id="102" w:name="_Toc13127974"/>
      <w:bookmarkStart w:id="103" w:name="_Toc20434"/>
      <w:r>
        <w:rPr>
          <w:rFonts w:ascii="Times New Roman" w:hAnsi="Times New Roman" w:cs="Times New Roman"/>
          <w:szCs w:val="24"/>
          <w:lang w:eastAsia="zh-CN"/>
        </w:rPr>
        <w:t>详见附件</w:t>
      </w:r>
      <w:r>
        <w:rPr>
          <w:rFonts w:hint="eastAsia" w:ascii="Times New Roman" w:hAnsi="Times New Roman" w:cs="Times New Roman"/>
          <w:szCs w:val="24"/>
          <w:lang w:eastAsia="zh-CN"/>
        </w:rPr>
        <w:t>2</w:t>
      </w:r>
      <w:r>
        <w:rPr>
          <w:rFonts w:ascii="Times New Roman" w:hAnsi="Times New Roman" w:cs="Times New Roman"/>
          <w:szCs w:val="24"/>
          <w:lang w:eastAsia="zh-CN"/>
        </w:rPr>
        <w:t>。</w:t>
      </w:r>
    </w:p>
    <w:p>
      <w:pPr>
        <w:pStyle w:val="2"/>
        <w:ind w:left="0" w:leftChars="0" w:firstLine="0" w:firstLineChars="0"/>
        <w:jc w:val="center"/>
        <w:rPr>
          <w:rFonts w:ascii="Times New Roman" w:hAnsi="Times New Roman"/>
          <w:lang w:val="en-US" w:eastAsia="zh-CN"/>
        </w:rPr>
      </w:pPr>
      <w:r>
        <w:rPr>
          <w:rFonts w:ascii="Times New Roman" w:hAnsi="Times New Roman"/>
          <w:lang w:val="en-US" w:eastAsia="zh-CN"/>
        </w:rPr>
        <w:t>См. Приложение</w:t>
      </w:r>
      <w:r>
        <w:rPr>
          <w:rFonts w:hint="eastAsia" w:ascii="Times New Roman" w:hAnsi="Times New Roman"/>
          <w:lang w:val="en-US" w:eastAsia="zh-CN"/>
        </w:rPr>
        <w:t xml:space="preserve"> 2</w:t>
      </w:r>
    </w:p>
    <w:bookmarkEnd w:id="96"/>
    <w:bookmarkEnd w:id="97"/>
    <w:bookmarkEnd w:id="98"/>
    <w:bookmarkEnd w:id="99"/>
    <w:bookmarkEnd w:id="100"/>
    <w:bookmarkEnd w:id="101"/>
    <w:bookmarkEnd w:id="102"/>
    <w:bookmarkEnd w:id="103"/>
    <w:p>
      <w:pPr>
        <w:pStyle w:val="33"/>
        <w:snapToGrid w:val="0"/>
        <w:spacing w:before="120"/>
        <w:outlineLvl w:val="9"/>
        <w:rPr>
          <w:rFonts w:ascii="Times New Roman" w:hAnsi="Times New Roman" w:eastAsia="宋体" w:cs="Times New Roman"/>
        </w:rPr>
      </w:pPr>
      <w:bookmarkStart w:id="104" w:name="_Toc3474937"/>
    </w:p>
    <w:p>
      <w:pPr>
        <w:pStyle w:val="33"/>
        <w:snapToGrid w:val="0"/>
        <w:spacing w:before="120"/>
        <w:outlineLvl w:val="9"/>
        <w:rPr>
          <w:rFonts w:ascii="Times New Roman" w:hAnsi="Times New Roman" w:cs="Times New Roman"/>
        </w:rPr>
      </w:pPr>
    </w:p>
    <w:p>
      <w:pPr>
        <w:pStyle w:val="33"/>
        <w:snapToGrid w:val="0"/>
        <w:spacing w:before="120"/>
        <w:outlineLvl w:val="9"/>
        <w:rPr>
          <w:rFonts w:ascii="Times New Roman" w:hAnsi="Times New Roman" w:cs="Times New Roman"/>
        </w:rPr>
      </w:pPr>
    </w:p>
    <w:p>
      <w:pPr>
        <w:pStyle w:val="33"/>
        <w:snapToGrid w:val="0"/>
        <w:spacing w:before="120"/>
        <w:outlineLvl w:val="9"/>
        <w:rPr>
          <w:rFonts w:ascii="Times New Roman" w:hAnsi="Times New Roman" w:cs="Times New Roman"/>
        </w:rPr>
      </w:pPr>
    </w:p>
    <w:p>
      <w:pPr>
        <w:pStyle w:val="33"/>
        <w:snapToGrid w:val="0"/>
        <w:spacing w:before="120"/>
        <w:outlineLvl w:val="9"/>
        <w:rPr>
          <w:rFonts w:ascii="Times New Roman" w:hAnsi="Times New Roman" w:cs="Times New Roman"/>
        </w:rPr>
      </w:pPr>
    </w:p>
    <w:p>
      <w:pPr>
        <w:pStyle w:val="33"/>
        <w:snapToGrid w:val="0"/>
        <w:spacing w:before="120"/>
        <w:outlineLvl w:val="9"/>
        <w:rPr>
          <w:rFonts w:ascii="Times New Roman" w:hAnsi="Times New Roman" w:cs="Times New Roman"/>
        </w:rPr>
      </w:pPr>
    </w:p>
    <w:p>
      <w:pPr>
        <w:pStyle w:val="33"/>
        <w:snapToGrid w:val="0"/>
        <w:spacing w:before="120"/>
        <w:outlineLvl w:val="9"/>
        <w:rPr>
          <w:rFonts w:ascii="Times New Roman" w:hAnsi="Times New Roman" w:cs="Times New Roman"/>
        </w:rPr>
      </w:pPr>
    </w:p>
    <w:p>
      <w:pPr>
        <w:pStyle w:val="33"/>
        <w:snapToGrid w:val="0"/>
        <w:spacing w:before="120"/>
        <w:outlineLvl w:val="9"/>
        <w:rPr>
          <w:rFonts w:ascii="Times New Roman" w:hAnsi="Times New Roman" w:cs="Times New Roman"/>
        </w:rPr>
      </w:pPr>
    </w:p>
    <w:bookmarkEnd w:id="104"/>
    <w:p>
      <w:pPr>
        <w:widowControl/>
        <w:adjustRightInd/>
        <w:snapToGrid/>
        <w:spacing w:line="240" w:lineRule="auto"/>
        <w:ind w:firstLine="0" w:firstLineChars="0"/>
        <w:rPr>
          <w:rFonts w:ascii="Times New Roman" w:hAnsi="Times New Roman" w:cs="Times New Roman"/>
          <w:b/>
          <w:sz w:val="32"/>
          <w:szCs w:val="32"/>
          <w:lang w:eastAsia="zh-CN"/>
        </w:rPr>
      </w:pPr>
      <w:bookmarkStart w:id="105" w:name="_Toc1628"/>
      <w:r>
        <w:rPr>
          <w:rFonts w:ascii="Times New Roman" w:hAnsi="Times New Roman" w:cs="Times New Roman"/>
          <w:b/>
          <w:sz w:val="32"/>
          <w:szCs w:val="32"/>
          <w:lang w:eastAsia="zh-CN"/>
        </w:rPr>
        <w:br w:type="page"/>
      </w:r>
    </w:p>
    <w:p>
      <w:pPr>
        <w:ind w:firstLine="0" w:firstLineChars="0"/>
        <w:jc w:val="both"/>
        <w:rPr>
          <w:rFonts w:ascii="Times New Roman" w:hAnsi="Times New Roman" w:cs="Times New Roman"/>
          <w:b/>
          <w:sz w:val="32"/>
          <w:szCs w:val="32"/>
          <w:lang w:eastAsia="zh-CN"/>
        </w:rPr>
      </w:pPr>
    </w:p>
    <w:bookmarkEnd w:id="105"/>
    <w:p>
      <w:pPr>
        <w:pStyle w:val="4"/>
        <w:numPr>
          <w:ilvl w:val="0"/>
          <w:numId w:val="3"/>
        </w:numPr>
        <w:spacing w:before="120" w:beforeLines="50" w:line="360" w:lineRule="auto"/>
        <w:ind w:left="0"/>
        <w:rPr>
          <w:rFonts w:ascii="Times New Roman" w:hAnsi="Times New Roman" w:cs="Times New Roman"/>
          <w:kern w:val="44"/>
          <w:szCs w:val="36"/>
          <w:lang w:eastAsia="zh-CN"/>
        </w:rPr>
      </w:pPr>
      <w:bookmarkStart w:id="106" w:name="_Toc5325"/>
      <w:r>
        <w:rPr>
          <w:rFonts w:hint="eastAsia" w:ascii="Times New Roman" w:hAnsi="Times New Roman" w:cs="Times New Roman"/>
          <w:kern w:val="44"/>
          <w:szCs w:val="36"/>
          <w:lang w:eastAsia="zh-CN"/>
        </w:rPr>
        <w:t xml:space="preserve"> </w:t>
      </w:r>
      <w:r>
        <w:rPr>
          <w:rFonts w:ascii="Times New Roman" w:hAnsi="Times New Roman" w:cs="Times New Roman"/>
          <w:kern w:val="44"/>
          <w:szCs w:val="36"/>
          <w:lang w:eastAsia="zh-CN"/>
        </w:rPr>
        <w:t>技术规范书</w:t>
      </w:r>
      <w:bookmarkEnd w:id="106"/>
    </w:p>
    <w:p>
      <w:pPr>
        <w:ind w:firstLine="0" w:firstLineChars="0"/>
        <w:jc w:val="center"/>
        <w:rPr>
          <w:rFonts w:ascii="Times New Roman" w:hAnsi="Times New Roman" w:cs="Times New Roman"/>
          <w:b/>
          <w:bCs/>
          <w:sz w:val="36"/>
          <w:szCs w:val="32"/>
          <w:lang w:eastAsia="zh-CN"/>
        </w:rPr>
      </w:pPr>
      <w:r>
        <w:rPr>
          <w:rFonts w:ascii="Times New Roman" w:hAnsi="Times New Roman" w:cs="Times New Roman"/>
          <w:b/>
          <w:bCs/>
          <w:sz w:val="36"/>
          <w:szCs w:val="32"/>
          <w:lang w:eastAsia="zh-CN"/>
        </w:rPr>
        <w:t>Глава 5. Технические спецификации</w:t>
      </w:r>
    </w:p>
    <w:p>
      <w:pPr>
        <w:ind w:firstLine="480"/>
        <w:rPr>
          <w:rFonts w:ascii="Times New Roman" w:hAnsi="Times New Roman" w:cs="Times New Roman"/>
          <w:szCs w:val="24"/>
          <w:lang w:eastAsia="zh-CN"/>
        </w:rPr>
      </w:pPr>
    </w:p>
    <w:p>
      <w:pPr>
        <w:widowControl/>
        <w:adjustRightInd/>
        <w:snapToGrid/>
        <w:spacing w:line="240" w:lineRule="auto"/>
        <w:ind w:firstLine="0" w:firstLineChars="0"/>
        <w:jc w:val="center"/>
        <w:rPr>
          <w:rFonts w:ascii="Times New Roman" w:hAnsi="Times New Roman" w:cs="Times New Roman"/>
          <w:szCs w:val="24"/>
          <w:lang w:eastAsia="zh-CN"/>
        </w:rPr>
      </w:pPr>
      <w:bookmarkStart w:id="107" w:name="_Toc1743987"/>
      <w:r>
        <w:rPr>
          <w:rFonts w:ascii="Times New Roman" w:hAnsi="Times New Roman" w:cs="Times New Roman"/>
          <w:szCs w:val="24"/>
          <w:lang w:eastAsia="zh-CN"/>
        </w:rPr>
        <w:t>详见附件</w:t>
      </w:r>
      <w:r>
        <w:rPr>
          <w:rFonts w:hint="eastAsia" w:ascii="Times New Roman" w:hAnsi="Times New Roman" w:cs="Times New Roman"/>
          <w:szCs w:val="24"/>
          <w:lang w:eastAsia="zh-CN"/>
        </w:rPr>
        <w:t>3</w:t>
      </w:r>
    </w:p>
    <w:p>
      <w:pPr>
        <w:pStyle w:val="2"/>
        <w:ind w:left="0" w:leftChars="0" w:firstLine="0" w:firstLineChars="0"/>
        <w:jc w:val="center"/>
        <w:rPr>
          <w:rFonts w:ascii="Times New Roman" w:hAnsi="Times New Roman"/>
          <w:lang w:val="en-US" w:eastAsia="zh-CN"/>
        </w:rPr>
      </w:pPr>
      <w:r>
        <w:rPr>
          <w:rFonts w:ascii="Times New Roman" w:hAnsi="Times New Roman"/>
          <w:lang w:val="en-US" w:eastAsia="zh-CN"/>
        </w:rPr>
        <w:t xml:space="preserve">См. Приложение </w:t>
      </w:r>
      <w:r>
        <w:rPr>
          <w:rFonts w:hint="eastAsia" w:ascii="Times New Roman" w:hAnsi="Times New Roman"/>
          <w:lang w:val="en-US" w:eastAsia="zh-CN"/>
        </w:rPr>
        <w:t>3</w:t>
      </w:r>
    </w:p>
    <w:p>
      <w:pPr>
        <w:ind w:firstLine="480"/>
        <w:rPr>
          <w:rFonts w:ascii="Times New Roman" w:hAnsi="Times New Roman" w:cs="Times New Roman"/>
          <w:szCs w:val="24"/>
          <w:lang w:eastAsia="zh-CN"/>
        </w:rPr>
      </w:pPr>
    </w:p>
    <w:p>
      <w:pPr>
        <w:ind w:firstLine="480"/>
        <w:rPr>
          <w:rFonts w:ascii="Times New Roman" w:hAnsi="Times New Roman" w:cs="Times New Roman"/>
          <w:szCs w:val="24"/>
          <w:lang w:eastAsia="zh-CN"/>
        </w:rPr>
      </w:pPr>
    </w:p>
    <w:p>
      <w:pPr>
        <w:ind w:firstLine="480"/>
        <w:rPr>
          <w:rFonts w:ascii="Times New Roman" w:hAnsi="Times New Roman" w:cs="Times New Roman"/>
          <w:szCs w:val="24"/>
          <w:lang w:eastAsia="zh-CN"/>
        </w:rPr>
      </w:pPr>
    </w:p>
    <w:p>
      <w:pPr>
        <w:ind w:firstLine="480"/>
        <w:rPr>
          <w:rFonts w:ascii="Times New Roman" w:hAnsi="Times New Roman" w:cs="Times New Roman"/>
          <w:szCs w:val="24"/>
          <w:lang w:eastAsia="zh-CN"/>
        </w:rPr>
      </w:pPr>
    </w:p>
    <w:p>
      <w:pPr>
        <w:ind w:firstLine="480"/>
        <w:rPr>
          <w:rFonts w:ascii="Times New Roman" w:hAnsi="Times New Roman" w:cs="Times New Roman"/>
          <w:szCs w:val="24"/>
          <w:lang w:eastAsia="zh-CN"/>
        </w:rPr>
      </w:pPr>
    </w:p>
    <w:p>
      <w:pPr>
        <w:ind w:firstLine="480"/>
        <w:rPr>
          <w:rFonts w:ascii="Times New Roman" w:hAnsi="Times New Roman" w:cs="Times New Roman"/>
          <w:szCs w:val="24"/>
          <w:lang w:eastAsia="zh-CN"/>
        </w:rPr>
      </w:pPr>
    </w:p>
    <w:p>
      <w:pPr>
        <w:ind w:firstLine="480"/>
        <w:rPr>
          <w:rFonts w:ascii="Times New Roman" w:hAnsi="Times New Roman" w:cs="Times New Roman"/>
          <w:szCs w:val="24"/>
          <w:lang w:eastAsia="zh-CN"/>
        </w:rPr>
      </w:pPr>
    </w:p>
    <w:p>
      <w:pPr>
        <w:ind w:firstLine="480"/>
        <w:rPr>
          <w:rFonts w:ascii="Times New Roman" w:hAnsi="Times New Roman" w:cs="Times New Roman"/>
          <w:szCs w:val="24"/>
          <w:lang w:eastAsia="zh-CN"/>
        </w:rPr>
      </w:pPr>
    </w:p>
    <w:p>
      <w:pPr>
        <w:ind w:firstLine="480"/>
        <w:rPr>
          <w:rFonts w:ascii="Times New Roman" w:hAnsi="Times New Roman" w:cs="Times New Roman"/>
          <w:szCs w:val="24"/>
          <w:lang w:eastAsia="zh-CN"/>
        </w:rPr>
      </w:pPr>
    </w:p>
    <w:p>
      <w:pPr>
        <w:ind w:firstLine="480"/>
        <w:rPr>
          <w:rFonts w:ascii="Times New Roman" w:hAnsi="Times New Roman" w:cs="Times New Roman"/>
          <w:szCs w:val="24"/>
          <w:lang w:eastAsia="zh-CN"/>
        </w:rPr>
      </w:pPr>
    </w:p>
    <w:bookmarkEnd w:id="107"/>
    <w:p>
      <w:pPr>
        <w:ind w:firstLine="0" w:firstLineChars="0"/>
        <w:rPr>
          <w:rFonts w:ascii="Times New Roman" w:hAnsi="Times New Roman" w:cs="Times New Roman"/>
          <w:lang w:eastAsia="zh-CN"/>
        </w:rPr>
      </w:pPr>
      <w:bookmarkStart w:id="108" w:name="_Toc3474956"/>
      <w:bookmarkStart w:id="109" w:name="_Toc1743988"/>
    </w:p>
    <w:p>
      <w:pPr>
        <w:ind w:firstLine="480"/>
        <w:rPr>
          <w:rFonts w:ascii="Times New Roman" w:hAnsi="Times New Roman" w:cs="Times New Roman"/>
          <w:kern w:val="44"/>
          <w:szCs w:val="36"/>
          <w:lang w:eastAsia="zh-CN"/>
        </w:rPr>
      </w:pPr>
      <w:bookmarkStart w:id="110" w:name="_Toc26530"/>
      <w:bookmarkStart w:id="111" w:name="_Toc22620"/>
      <w:bookmarkStart w:id="112" w:name="_Toc28274"/>
      <w:bookmarkStart w:id="113" w:name="_Toc23064"/>
      <w:bookmarkStart w:id="114" w:name="_Toc22916"/>
      <w:bookmarkStart w:id="115" w:name="_Toc30925"/>
      <w:r>
        <w:rPr>
          <w:rFonts w:ascii="Times New Roman" w:hAnsi="Times New Roman" w:cs="Times New Roman"/>
          <w:kern w:val="44"/>
          <w:szCs w:val="36"/>
          <w:lang w:eastAsia="zh-CN"/>
        </w:rPr>
        <w:br w:type="page"/>
      </w:r>
    </w:p>
    <w:p>
      <w:pPr>
        <w:pStyle w:val="4"/>
        <w:numPr>
          <w:ilvl w:val="0"/>
          <w:numId w:val="3"/>
        </w:numPr>
        <w:spacing w:before="120" w:beforeLines="50" w:line="360" w:lineRule="auto"/>
        <w:ind w:left="0"/>
        <w:rPr>
          <w:rFonts w:ascii="Times New Roman" w:hAnsi="Times New Roman" w:cs="Times New Roman"/>
          <w:kern w:val="44"/>
          <w:szCs w:val="36"/>
          <w:lang w:eastAsia="zh-CN"/>
        </w:rPr>
      </w:pPr>
      <w:bookmarkStart w:id="116" w:name="_Toc25058"/>
      <w:r>
        <w:rPr>
          <w:rFonts w:hint="eastAsia" w:ascii="Times New Roman" w:hAnsi="Times New Roman" w:cs="Times New Roman"/>
          <w:kern w:val="44"/>
          <w:szCs w:val="36"/>
          <w:lang w:eastAsia="zh-CN"/>
        </w:rPr>
        <w:t xml:space="preserve"> </w:t>
      </w:r>
      <w:r>
        <w:rPr>
          <w:rFonts w:ascii="Times New Roman" w:hAnsi="Times New Roman" w:cs="Times New Roman"/>
          <w:kern w:val="44"/>
          <w:szCs w:val="36"/>
          <w:lang w:eastAsia="zh-CN"/>
        </w:rPr>
        <w:t>响应文件格式</w:t>
      </w:r>
      <w:bookmarkEnd w:id="108"/>
      <w:bookmarkEnd w:id="109"/>
      <w:bookmarkEnd w:id="110"/>
      <w:bookmarkEnd w:id="111"/>
      <w:bookmarkEnd w:id="112"/>
      <w:bookmarkEnd w:id="113"/>
      <w:bookmarkEnd w:id="114"/>
      <w:bookmarkEnd w:id="115"/>
      <w:bookmarkEnd w:id="116"/>
    </w:p>
    <w:p>
      <w:pPr>
        <w:ind w:firstLine="0" w:firstLineChars="0"/>
        <w:jc w:val="center"/>
        <w:rPr>
          <w:rFonts w:ascii="Times New Roman" w:hAnsi="Times New Roman" w:cs="Times New Roman"/>
          <w:b/>
          <w:bCs/>
          <w:sz w:val="36"/>
          <w:szCs w:val="32"/>
          <w:lang w:eastAsia="zh-CN"/>
        </w:rPr>
      </w:pPr>
      <w:r>
        <w:rPr>
          <w:rFonts w:ascii="Times New Roman" w:hAnsi="Times New Roman" w:cs="Times New Roman"/>
          <w:b/>
          <w:bCs/>
          <w:sz w:val="36"/>
          <w:szCs w:val="32"/>
          <w:lang w:eastAsia="zh-CN"/>
        </w:rPr>
        <w:t>Глава 6. Форматы отклика</w:t>
      </w:r>
    </w:p>
    <w:p>
      <w:pPr>
        <w:widowControl/>
        <w:adjustRightInd/>
        <w:snapToGrid/>
        <w:spacing w:line="240" w:lineRule="auto"/>
        <w:ind w:firstLine="0" w:firstLineChars="0"/>
        <w:jc w:val="center"/>
        <w:rPr>
          <w:rFonts w:ascii="Times New Roman" w:hAnsi="Times New Roman" w:cs="Times New Roman"/>
          <w:szCs w:val="24"/>
          <w:lang w:eastAsia="zh-CN"/>
        </w:rPr>
      </w:pPr>
    </w:p>
    <w:p>
      <w:pPr>
        <w:widowControl/>
        <w:adjustRightInd/>
        <w:snapToGrid/>
        <w:spacing w:line="240" w:lineRule="auto"/>
        <w:ind w:firstLine="0" w:firstLineChars="0"/>
        <w:jc w:val="center"/>
        <w:rPr>
          <w:rFonts w:ascii="Times New Roman" w:hAnsi="Times New Roman" w:cs="Times New Roman"/>
          <w:szCs w:val="24"/>
          <w:lang w:eastAsia="zh-CN"/>
        </w:rPr>
      </w:pPr>
      <w:r>
        <w:rPr>
          <w:rFonts w:ascii="Times New Roman" w:hAnsi="Times New Roman" w:cs="Times New Roman"/>
          <w:szCs w:val="24"/>
          <w:lang w:eastAsia="zh-CN"/>
        </w:rPr>
        <w:t>详见附件</w:t>
      </w:r>
      <w:r>
        <w:rPr>
          <w:rFonts w:hint="eastAsia" w:ascii="Times New Roman" w:hAnsi="Times New Roman" w:cs="Times New Roman"/>
          <w:szCs w:val="24"/>
          <w:lang w:eastAsia="zh-CN"/>
        </w:rPr>
        <w:t>4</w:t>
      </w:r>
    </w:p>
    <w:p>
      <w:pPr>
        <w:pStyle w:val="2"/>
        <w:ind w:left="0" w:leftChars="0" w:firstLine="0" w:firstLineChars="0"/>
        <w:jc w:val="center"/>
        <w:rPr>
          <w:rFonts w:ascii="Times New Roman" w:hAnsi="Times New Roman"/>
          <w:lang w:val="en-US" w:eastAsia="zh-CN"/>
        </w:rPr>
      </w:pPr>
      <w:r>
        <w:rPr>
          <w:rFonts w:ascii="Times New Roman" w:hAnsi="Times New Roman"/>
          <w:lang w:val="en-US" w:eastAsia="zh-CN"/>
        </w:rPr>
        <w:t>См. Приложение</w:t>
      </w:r>
      <w:r>
        <w:rPr>
          <w:rFonts w:hint="eastAsia" w:ascii="Times New Roman" w:hAnsi="Times New Roman"/>
          <w:lang w:val="en-US" w:eastAsia="zh-CN"/>
        </w:rPr>
        <w:t>4</w:t>
      </w:r>
    </w:p>
    <w:p>
      <w:pPr>
        <w:ind w:firstLine="0" w:firstLineChars="0"/>
        <w:rPr>
          <w:rFonts w:ascii="Times New Roman" w:hAnsi="Times New Roman" w:cs="Times New Roman"/>
          <w:lang w:eastAsia="zh-CN"/>
        </w:rPr>
      </w:pPr>
    </w:p>
    <w:sectPr>
      <w:pgSz w:w="11907" w:h="16839"/>
      <w:pgMar w:top="1797" w:right="1440" w:bottom="1797" w:left="1440" w:header="1021" w:footer="851" w:gutter="0"/>
      <w:cols w:space="720" w:num="1"/>
      <w:docGrid w:linePitch="29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JhengHei">
    <w:panose1 w:val="020B0604030504040204"/>
    <w:charset w:val="88"/>
    <w:family w:val="swiss"/>
    <w:pitch w:val="default"/>
    <w:sig w:usb0="000002A7" w:usb1="28CF4400" w:usb2="00000016" w:usb3="00000000" w:csb0="00100009" w:csb1="00000000"/>
  </w:font>
  <w:font w:name="Century Gothic">
    <w:panose1 w:val="020B0502020202020204"/>
    <w:charset w:val="CC"/>
    <w:family w:val="swiss"/>
    <w:pitch w:val="default"/>
    <w:sig w:usb0="00000287" w:usb1="00000000" w:usb2="00000000" w:usb3="00000000" w:csb0="2000009F" w:csb1="DFD70000"/>
  </w:font>
  <w:font w:name="华文中宋">
    <w:panose1 w:val="02010600040101010101"/>
    <w:charset w:val="86"/>
    <w:family w:val="auto"/>
    <w:pitch w:val="default"/>
    <w:sig w:usb0="00000287" w:usb1="080F0000" w:usb2="00000000" w:usb3="00000000" w:csb0="0004009F" w:csb1="DFD70000"/>
  </w:font>
  <w:font w:name="FangSong_GB2312">
    <w:altName w:val="仿宋_GB2312"/>
    <w:panose1 w:val="02010609060101010101"/>
    <w:charset w:val="86"/>
    <w:family w:val="modern"/>
    <w:pitch w:val="default"/>
    <w:sig w:usb0="00000000" w:usb1="00000000" w:usb2="00000016" w:usb3="00000000" w:csb0="00040001" w:csb1="00000000"/>
  </w:font>
  <w:font w:name="Cambria">
    <w:panose1 w:val="02040503050406030204"/>
    <w:charset w:val="CC"/>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 w:name="Segoe UI">
    <w:panose1 w:val="020B0502040204020203"/>
    <w:charset w:val="CC"/>
    <w:family w:val="swiss"/>
    <w:pitch w:val="default"/>
    <w:sig w:usb0="E4002EFF" w:usb1="C000E47F" w:usb2="00000009" w:usb3="00000000" w:csb0="200001FF" w:csb1="00000000"/>
  </w:font>
  <w:font w:name="Times New Roman Regular">
    <w:altName w:val="Times New Roman"/>
    <w:panose1 w:val="00000000000000000000"/>
    <w:charset w:val="00"/>
    <w:family w:val="auto"/>
    <w:pitch w:val="default"/>
    <w:sig w:usb0="00000000" w:usb1="00000000" w:usb2="00000001" w:usb3="00000000" w:csb0="400001BF" w:csb1="DFF70000"/>
  </w:font>
  <w:font w:name="仿宋_GB2312">
    <w:panose1 w:val="02010609030101010101"/>
    <w:charset w:val="86"/>
    <w:family w:val="auto"/>
    <w:pitch w:val="default"/>
    <w:sig w:usb0="00000001" w:usb1="080E0000" w:usb2="00000000" w:usb3="00000000" w:csb0="00040000" w:csb1="00000000"/>
  </w:font>
  <w:font w:name="Segoe UI">
    <w:panose1 w:val="020B0502040204020203"/>
    <w:charset w:val="00"/>
    <w:family w:val="auto"/>
    <w:pitch w:val="default"/>
    <w:sig w:usb0="E4002EFF" w:usb1="C000E47F"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pacing w:line="440" w:lineRule="exact"/>
      <w:ind w:firstLine="0" w:firstLineChars="0"/>
      <w:jc w:val="center"/>
      <w:rPr>
        <w:rFonts w:ascii="宋体" w:hAnsi="宋体"/>
      </w:rPr>
    </w:pPr>
    <w:r>
      <w:rPr>
        <w:lang w:val="ru-RU"/>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6"/>
                            <w:ind w:firstLine="360"/>
                          </w:pPr>
                          <w:r>
                            <w:rPr>
                              <w:rFonts w:hint="eastAsia"/>
                            </w:rPr>
                            <w:t xml:space="preserve">— </w:t>
                          </w: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r>
                            <w:rPr>
                              <w:rFonts w:hint="eastAsia"/>
                            </w:rP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CzSVju0AAAAAUBAAAPAAAAAAAAAAEAIAAAACIAAABk&#10;cnMvZG93bnJldi54bWxQSwECFAAUAAAACACHTuJA+k7mmg4CAAAHBAAADgAAAAAAAAABACAAAAAf&#10;AQAAZHJzL2Uyb0RvYy54bWxQSwUGAAAAAAYABgBZAQAAnwUAAAAA&#10;">
              <v:fill on="f" focussize="0,0"/>
              <v:stroke on="f" weight="0.5pt"/>
              <v:imagedata o:title=""/>
              <o:lock v:ext="edit" aspectratio="f"/>
              <v:textbox inset="0mm,0mm,0mm,0mm" style="mso-fit-shape-to-text:t;">
                <w:txbxContent>
                  <w:p>
                    <w:pPr>
                      <w:pStyle w:val="16"/>
                      <w:ind w:firstLine="360"/>
                    </w:pPr>
                    <w:r>
                      <w:rPr>
                        <w:rFonts w:hint="eastAsia"/>
                      </w:rPr>
                      <w:t xml:space="preserve">— </w:t>
                    </w: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r>
                      <w:rPr>
                        <w:rFonts w:hint="eastAsia"/>
                      </w:rPr>
                      <w:t xml:space="preserve"> —</w:t>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firstLine="480"/>
      <w:jc w:val="center"/>
    </w:pPr>
    <w:r>
      <w:rPr>
        <w:lang w:val="ru-RU" w:eastAsia="zh-CN"/>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9" name="文本框 1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16"/>
                            <w:ind w:firstLine="360"/>
                          </w:pPr>
                          <w:r>
                            <w:rPr>
                              <w:rFonts w:hint="eastAsia"/>
                            </w:rPr>
                            <w:t xml:space="preserve">— </w:t>
                          </w:r>
                          <w:r>
                            <w:rPr>
                              <w:rFonts w:hint="eastAsia"/>
                            </w:rPr>
                            <w:fldChar w:fldCharType="begin"/>
                          </w:r>
                          <w:r>
                            <w:rPr>
                              <w:rFonts w:hint="eastAsia"/>
                            </w:rPr>
                            <w:instrText xml:space="preserve"> PAGE  \* MERGEFORMAT </w:instrText>
                          </w:r>
                          <w:r>
                            <w:rPr>
                              <w:rFonts w:hint="eastAsia"/>
                            </w:rPr>
                            <w:fldChar w:fldCharType="separate"/>
                          </w:r>
                          <w:r>
                            <w:t>11</w:t>
                          </w:r>
                          <w:r>
                            <w:rPr>
                              <w:rFonts w:hint="eastAsia"/>
                            </w:rPr>
                            <w:fldChar w:fldCharType="end"/>
                          </w:r>
                          <w:r>
                            <w:rPr>
                              <w:rFonts w:hint="eastAsia"/>
                            </w:rP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LNJWO7QAAAABQEAAA8AAAAAAAAAAQAg&#10;AAAAIgAAAGRycy9kb3ducmV2LnhtbFBLAQIUABQAAAAIAIdO4kAqpLHrFgIAABcEAAAOAAAAAAAA&#10;AAEAIAAAAB8BAABkcnMvZTJvRG9jLnhtbFBLBQYAAAAABgAGAFkBAACnBQAAAAA=&#10;">
              <v:fill on="f" focussize="0,0"/>
              <v:stroke on="f" weight="0.5pt"/>
              <v:imagedata o:title=""/>
              <o:lock v:ext="edit" aspectratio="f"/>
              <v:textbox inset="0mm,0mm,0mm,0mm" style="mso-fit-shape-to-text:t;">
                <w:txbxContent>
                  <w:p>
                    <w:pPr>
                      <w:pStyle w:val="16"/>
                      <w:ind w:firstLine="360"/>
                    </w:pPr>
                    <w:r>
                      <w:rPr>
                        <w:rFonts w:hint="eastAsia"/>
                      </w:rPr>
                      <w:t xml:space="preserve">— </w:t>
                    </w:r>
                    <w:r>
                      <w:rPr>
                        <w:rFonts w:hint="eastAsia"/>
                      </w:rPr>
                      <w:fldChar w:fldCharType="begin"/>
                    </w:r>
                    <w:r>
                      <w:rPr>
                        <w:rFonts w:hint="eastAsia"/>
                      </w:rPr>
                      <w:instrText xml:space="preserve"> PAGE  \* MERGEFORMAT </w:instrText>
                    </w:r>
                    <w:r>
                      <w:rPr>
                        <w:rFonts w:hint="eastAsia"/>
                      </w:rPr>
                      <w:fldChar w:fldCharType="separate"/>
                    </w:r>
                    <w:r>
                      <w:t>11</w:t>
                    </w:r>
                    <w:r>
                      <w:rPr>
                        <w:rFonts w:hint="eastAsia"/>
                      </w:rPr>
                      <w:fldChar w:fldCharType="end"/>
                    </w:r>
                    <w:r>
                      <w:rPr>
                        <w:rFonts w:hint="eastAsia"/>
                      </w:rPr>
                      <w:t xml:space="preserve"> —</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Bdr>
        <w:bottom w:val="none" w:color="auto" w:sz="0" w:space="0"/>
      </w:pBdr>
      <w:ind w:firstLine="360"/>
      <w:jc w:val="lef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firstLine="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Bdr>
        <w:bottom w:val="single" w:color="auto" w:sz="4" w:space="1"/>
      </w:pBdr>
      <w:tabs>
        <w:tab w:val="right" w:pos="9015"/>
        <w:tab w:val="clear" w:pos="4153"/>
        <w:tab w:val="clear" w:pos="8306"/>
      </w:tabs>
      <w:spacing w:line="240" w:lineRule="auto"/>
      <w:ind w:left="8280" w:hanging="8280" w:hangingChars="4600"/>
      <w:jc w:val="left"/>
      <w:rPr>
        <w:rFonts w:ascii="Times New Roman" w:hAnsi="Times New Roman" w:cs="Times New Roman"/>
        <w:bCs/>
      </w:rPr>
    </w:pPr>
    <w:r>
      <w:rPr>
        <w:rFonts w:ascii="Times New Roman" w:hAnsi="Times New Roman" w:cs="Times New Roman"/>
        <w:lang w:val="ru-RU"/>
      </w:rPr>
      <w:drawing>
        <wp:inline distT="0" distB="0" distL="114300" distR="114300">
          <wp:extent cx="276860" cy="219075"/>
          <wp:effectExtent l="0" t="0" r="8890" b="9525"/>
          <wp:docPr id="1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
                  <pic:cNvPicPr>
                    <a:picLocks noChangeAspect="1"/>
                  </pic:cNvPicPr>
                </pic:nvPicPr>
                <pic:blipFill>
                  <a:blip r:embed="rId1"/>
                  <a:stretch>
                    <a:fillRect/>
                  </a:stretch>
                </pic:blipFill>
                <pic:spPr>
                  <a:xfrm>
                    <a:off x="0" y="0"/>
                    <a:ext cx="276860" cy="219075"/>
                  </a:xfrm>
                  <a:prstGeom prst="rect">
                    <a:avLst/>
                  </a:prstGeom>
                  <a:noFill/>
                  <a:ln>
                    <a:noFill/>
                  </a:ln>
                </pic:spPr>
              </pic:pic>
            </a:graphicData>
          </a:graphic>
        </wp:inline>
      </w:drawing>
    </w:r>
    <w:r>
      <w:rPr>
        <w:rFonts w:ascii="Times New Roman" w:hAnsi="Times New Roman" w:cs="Times New Roman"/>
        <w:bCs/>
      </w:rPr>
      <w:t>哈萨克斯坦阿克套燃机项目接入系勘察设计服务                                         直接采购文件</w:t>
    </w:r>
  </w:p>
  <w:p>
    <w:pPr>
      <w:pStyle w:val="17"/>
      <w:pBdr>
        <w:bottom w:val="single" w:color="auto" w:sz="4" w:space="1"/>
      </w:pBdr>
      <w:tabs>
        <w:tab w:val="right" w:pos="9015"/>
        <w:tab w:val="clear" w:pos="4153"/>
        <w:tab w:val="clear" w:pos="8306"/>
      </w:tabs>
      <w:spacing w:line="240" w:lineRule="auto"/>
      <w:ind w:firstLine="0" w:firstLineChars="0"/>
      <w:jc w:val="left"/>
      <w:rPr>
        <w:rFonts w:ascii="Times New Roman" w:hAnsi="Times New Roman" w:cs="Times New Roman"/>
        <w:bCs/>
        <w:lang w:val="ru-RU"/>
      </w:rPr>
    </w:pPr>
    <w:r>
      <w:rPr>
        <w:rFonts w:ascii="Times New Roman" w:hAnsi="Times New Roman" w:cs="Times New Roman"/>
        <w:bCs/>
        <w:lang w:val="ru-RU"/>
      </w:rPr>
      <w:t xml:space="preserve">Изыскания и проектирование системы подключения                         Документация о прямых закупках  </w:t>
    </w:r>
  </w:p>
  <w:p>
    <w:pPr>
      <w:pStyle w:val="17"/>
      <w:pBdr>
        <w:bottom w:val="single" w:color="auto" w:sz="4" w:space="1"/>
      </w:pBdr>
      <w:tabs>
        <w:tab w:val="right" w:pos="9015"/>
        <w:tab w:val="clear" w:pos="4153"/>
        <w:tab w:val="clear" w:pos="8306"/>
      </w:tabs>
      <w:spacing w:line="240" w:lineRule="auto"/>
      <w:ind w:firstLine="0" w:firstLineChars="0"/>
      <w:jc w:val="left"/>
      <w:rPr>
        <w:rFonts w:ascii="Times New Roman" w:hAnsi="Times New Roman" w:cs="Times New Roman"/>
        <w:b/>
        <w:bCs/>
        <w:lang w:val="ru-RU"/>
      </w:rPr>
    </w:pPr>
    <w:r>
      <w:rPr>
        <w:rFonts w:ascii="Times New Roman" w:hAnsi="Times New Roman" w:cs="Times New Roman"/>
        <w:bCs/>
        <w:lang w:val="ru-RU"/>
      </w:rPr>
      <w:t xml:space="preserve">проекта тепловой электростанции Актау в Казахстане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DF21EEB"/>
    <w:multiLevelType w:val="singleLevel"/>
    <w:tmpl w:val="FDF21EEB"/>
    <w:lvl w:ilvl="0" w:tentative="0">
      <w:start w:val="1"/>
      <w:numFmt w:val="decimal"/>
      <w:suff w:val="nothing"/>
      <w:lvlText w:val="（%1）"/>
      <w:lvlJc w:val="left"/>
    </w:lvl>
  </w:abstractNum>
  <w:abstractNum w:abstractNumId="1">
    <w:nsid w:val="4A5EA8FB"/>
    <w:multiLevelType w:val="singleLevel"/>
    <w:tmpl w:val="4A5EA8FB"/>
    <w:lvl w:ilvl="0" w:tentative="0">
      <w:start w:val="1"/>
      <w:numFmt w:val="chineseCounting"/>
      <w:suff w:val="space"/>
      <w:lvlText w:val="第%1章"/>
      <w:lvlJc w:val="left"/>
      <w:rPr>
        <w:rFonts w:hint="eastAsia"/>
      </w:rPr>
    </w:lvl>
  </w:abstractNum>
  <w:abstractNum w:abstractNumId="2">
    <w:nsid w:val="6C0E4BA0"/>
    <w:multiLevelType w:val="singleLevel"/>
    <w:tmpl w:val="6C0E4BA0"/>
    <w:lvl w:ilvl="0" w:tentative="0">
      <w:start w:val="4"/>
      <w:numFmt w:val="chineseCounting"/>
      <w:suff w:val="space"/>
      <w:lvlText w:val="第%1章"/>
      <w:lvlJc w:val="left"/>
      <w:rPr>
        <w:rFonts w:hint="eastAsia"/>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7"/>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a2sDQzNzM3tjQ2MzIzNDRV0lEKTi0uzszPAykwrAUAlEhqdiwAAAA="/>
    <w:docVar w:name="commondata" w:val="eyJoZGlkIjoiMmE3Y2ViZDk1NDYyMzNjODYzODAyNTQ4YTcxZDc1MTkifQ=="/>
  </w:docVars>
  <w:rsids>
    <w:rsidRoot w:val="00172A27"/>
    <w:rsid w:val="0000492D"/>
    <w:rsid w:val="00010EE3"/>
    <w:rsid w:val="00013B61"/>
    <w:rsid w:val="00027B23"/>
    <w:rsid w:val="00044F44"/>
    <w:rsid w:val="000748D8"/>
    <w:rsid w:val="00172A27"/>
    <w:rsid w:val="001E44C0"/>
    <w:rsid w:val="0021098D"/>
    <w:rsid w:val="002332F8"/>
    <w:rsid w:val="0023501E"/>
    <w:rsid w:val="00260F69"/>
    <w:rsid w:val="002A3BA5"/>
    <w:rsid w:val="002E2EC8"/>
    <w:rsid w:val="003D0EB4"/>
    <w:rsid w:val="003D5ABF"/>
    <w:rsid w:val="004104A1"/>
    <w:rsid w:val="00437A06"/>
    <w:rsid w:val="00457051"/>
    <w:rsid w:val="0046299A"/>
    <w:rsid w:val="00495694"/>
    <w:rsid w:val="00496DCD"/>
    <w:rsid w:val="004C74E4"/>
    <w:rsid w:val="004C75A8"/>
    <w:rsid w:val="004F648F"/>
    <w:rsid w:val="00546F0B"/>
    <w:rsid w:val="00554D6E"/>
    <w:rsid w:val="00582D04"/>
    <w:rsid w:val="005C140C"/>
    <w:rsid w:val="005F548D"/>
    <w:rsid w:val="0063168C"/>
    <w:rsid w:val="006A1305"/>
    <w:rsid w:val="006F266F"/>
    <w:rsid w:val="006F7386"/>
    <w:rsid w:val="007540F2"/>
    <w:rsid w:val="007A03D7"/>
    <w:rsid w:val="00874260"/>
    <w:rsid w:val="008A16FB"/>
    <w:rsid w:val="008C28A4"/>
    <w:rsid w:val="008C51DE"/>
    <w:rsid w:val="00905024"/>
    <w:rsid w:val="009476EA"/>
    <w:rsid w:val="00950432"/>
    <w:rsid w:val="00973A65"/>
    <w:rsid w:val="0098642B"/>
    <w:rsid w:val="009C1367"/>
    <w:rsid w:val="009C51C0"/>
    <w:rsid w:val="00A32BDD"/>
    <w:rsid w:val="00A535B5"/>
    <w:rsid w:val="00A63A36"/>
    <w:rsid w:val="00AC715D"/>
    <w:rsid w:val="00B23B10"/>
    <w:rsid w:val="00B51AE9"/>
    <w:rsid w:val="00B7678B"/>
    <w:rsid w:val="00B8393E"/>
    <w:rsid w:val="00BC5667"/>
    <w:rsid w:val="00BE1291"/>
    <w:rsid w:val="00BF6C60"/>
    <w:rsid w:val="00C31CFD"/>
    <w:rsid w:val="00C33C30"/>
    <w:rsid w:val="00C54FF7"/>
    <w:rsid w:val="00C62881"/>
    <w:rsid w:val="00C8740B"/>
    <w:rsid w:val="00C91C98"/>
    <w:rsid w:val="00C96A52"/>
    <w:rsid w:val="00CB5168"/>
    <w:rsid w:val="00CD0CDE"/>
    <w:rsid w:val="00CE1A1A"/>
    <w:rsid w:val="00CE4603"/>
    <w:rsid w:val="00D63D22"/>
    <w:rsid w:val="00D661FE"/>
    <w:rsid w:val="00D86E75"/>
    <w:rsid w:val="00DB23CF"/>
    <w:rsid w:val="00DB5B30"/>
    <w:rsid w:val="00DD73DA"/>
    <w:rsid w:val="00E205A0"/>
    <w:rsid w:val="00E50CB2"/>
    <w:rsid w:val="00E5239D"/>
    <w:rsid w:val="00E75C4D"/>
    <w:rsid w:val="00E80221"/>
    <w:rsid w:val="00E87311"/>
    <w:rsid w:val="00EE387F"/>
    <w:rsid w:val="00F46468"/>
    <w:rsid w:val="00F8694A"/>
    <w:rsid w:val="00F87AE4"/>
    <w:rsid w:val="00FA43EB"/>
    <w:rsid w:val="00FA4E5D"/>
    <w:rsid w:val="00FB1E9A"/>
    <w:rsid w:val="00FB2240"/>
    <w:rsid w:val="00FC29BF"/>
    <w:rsid w:val="01341807"/>
    <w:rsid w:val="01BC74C7"/>
    <w:rsid w:val="01DA23AF"/>
    <w:rsid w:val="02036B9B"/>
    <w:rsid w:val="02340DB1"/>
    <w:rsid w:val="026304E3"/>
    <w:rsid w:val="030C3169"/>
    <w:rsid w:val="039F5DE5"/>
    <w:rsid w:val="03E1319A"/>
    <w:rsid w:val="043645A1"/>
    <w:rsid w:val="04477AA3"/>
    <w:rsid w:val="04567CA2"/>
    <w:rsid w:val="04706FFA"/>
    <w:rsid w:val="04760D6D"/>
    <w:rsid w:val="04BD2A4D"/>
    <w:rsid w:val="04C44A6F"/>
    <w:rsid w:val="04F42833"/>
    <w:rsid w:val="050510CA"/>
    <w:rsid w:val="05233B80"/>
    <w:rsid w:val="056D138A"/>
    <w:rsid w:val="05BA5C04"/>
    <w:rsid w:val="05BB7D47"/>
    <w:rsid w:val="05DE29C3"/>
    <w:rsid w:val="05E05ABA"/>
    <w:rsid w:val="05E355AA"/>
    <w:rsid w:val="063D4ADF"/>
    <w:rsid w:val="06B63431"/>
    <w:rsid w:val="06BD0254"/>
    <w:rsid w:val="07903709"/>
    <w:rsid w:val="0793244C"/>
    <w:rsid w:val="08332819"/>
    <w:rsid w:val="083F3FB4"/>
    <w:rsid w:val="086410A5"/>
    <w:rsid w:val="0865740A"/>
    <w:rsid w:val="090A50CE"/>
    <w:rsid w:val="090D12BC"/>
    <w:rsid w:val="09272E79"/>
    <w:rsid w:val="09335B6C"/>
    <w:rsid w:val="096771EE"/>
    <w:rsid w:val="098922BC"/>
    <w:rsid w:val="09A75429"/>
    <w:rsid w:val="09AD1E31"/>
    <w:rsid w:val="09DC7F62"/>
    <w:rsid w:val="09F360A5"/>
    <w:rsid w:val="0A38328B"/>
    <w:rsid w:val="0B705B32"/>
    <w:rsid w:val="0C011543"/>
    <w:rsid w:val="0C091E19"/>
    <w:rsid w:val="0C3721AC"/>
    <w:rsid w:val="0C5A661D"/>
    <w:rsid w:val="0C882A07"/>
    <w:rsid w:val="0CAE52C5"/>
    <w:rsid w:val="0CBF23FA"/>
    <w:rsid w:val="0CE469BB"/>
    <w:rsid w:val="0CFC0D3F"/>
    <w:rsid w:val="0DA93E68"/>
    <w:rsid w:val="0DD82DA2"/>
    <w:rsid w:val="0E100F06"/>
    <w:rsid w:val="0E5219DF"/>
    <w:rsid w:val="0E8C3A20"/>
    <w:rsid w:val="0EFF3CC1"/>
    <w:rsid w:val="0F415E57"/>
    <w:rsid w:val="0F541EEE"/>
    <w:rsid w:val="0F696B20"/>
    <w:rsid w:val="0F9C0D05"/>
    <w:rsid w:val="0F9E0D50"/>
    <w:rsid w:val="0FE1079D"/>
    <w:rsid w:val="10F6342B"/>
    <w:rsid w:val="11651569"/>
    <w:rsid w:val="11CB03D8"/>
    <w:rsid w:val="11D675B3"/>
    <w:rsid w:val="1210092A"/>
    <w:rsid w:val="123B59C0"/>
    <w:rsid w:val="12A733A7"/>
    <w:rsid w:val="12F55FE2"/>
    <w:rsid w:val="13022502"/>
    <w:rsid w:val="133807EA"/>
    <w:rsid w:val="13A50343"/>
    <w:rsid w:val="13F81B1B"/>
    <w:rsid w:val="143F0E68"/>
    <w:rsid w:val="145C27FF"/>
    <w:rsid w:val="14FF37F6"/>
    <w:rsid w:val="150D3C4D"/>
    <w:rsid w:val="15435A58"/>
    <w:rsid w:val="15EC17FA"/>
    <w:rsid w:val="15F2438C"/>
    <w:rsid w:val="1610675F"/>
    <w:rsid w:val="16203E4D"/>
    <w:rsid w:val="16DC0470"/>
    <w:rsid w:val="17215F32"/>
    <w:rsid w:val="17962B93"/>
    <w:rsid w:val="17A005A2"/>
    <w:rsid w:val="186C3383"/>
    <w:rsid w:val="189E6ABD"/>
    <w:rsid w:val="195C30F0"/>
    <w:rsid w:val="199F5459"/>
    <w:rsid w:val="19E07C95"/>
    <w:rsid w:val="19E619AA"/>
    <w:rsid w:val="1A2226ED"/>
    <w:rsid w:val="1A2C09D4"/>
    <w:rsid w:val="1A935F25"/>
    <w:rsid w:val="1AA90570"/>
    <w:rsid w:val="1AAB2567"/>
    <w:rsid w:val="1ABD41C4"/>
    <w:rsid w:val="1AF46FBD"/>
    <w:rsid w:val="1B172980"/>
    <w:rsid w:val="1B765D5B"/>
    <w:rsid w:val="1B9053D4"/>
    <w:rsid w:val="1BA14593"/>
    <w:rsid w:val="1BED070E"/>
    <w:rsid w:val="1BF44C68"/>
    <w:rsid w:val="1BF47159"/>
    <w:rsid w:val="1BFE2344"/>
    <w:rsid w:val="1C204A0A"/>
    <w:rsid w:val="1CA86123"/>
    <w:rsid w:val="1CF560C5"/>
    <w:rsid w:val="1D733CA9"/>
    <w:rsid w:val="1D7C2114"/>
    <w:rsid w:val="1DE74F55"/>
    <w:rsid w:val="1E262080"/>
    <w:rsid w:val="1E7B6797"/>
    <w:rsid w:val="1E8F21D5"/>
    <w:rsid w:val="1EDE5F93"/>
    <w:rsid w:val="1F636682"/>
    <w:rsid w:val="201D44CE"/>
    <w:rsid w:val="203A72A5"/>
    <w:rsid w:val="20AA54A8"/>
    <w:rsid w:val="20B57509"/>
    <w:rsid w:val="20BB799C"/>
    <w:rsid w:val="20C5244D"/>
    <w:rsid w:val="20E710C2"/>
    <w:rsid w:val="21567BC6"/>
    <w:rsid w:val="21D64592"/>
    <w:rsid w:val="21F60142"/>
    <w:rsid w:val="222D1C2F"/>
    <w:rsid w:val="22721D38"/>
    <w:rsid w:val="227C17CD"/>
    <w:rsid w:val="228D64F7"/>
    <w:rsid w:val="22B8658C"/>
    <w:rsid w:val="23051DC8"/>
    <w:rsid w:val="24493DB7"/>
    <w:rsid w:val="24B467CC"/>
    <w:rsid w:val="262821D2"/>
    <w:rsid w:val="263076F8"/>
    <w:rsid w:val="266D4BF4"/>
    <w:rsid w:val="26B45789"/>
    <w:rsid w:val="26F577A5"/>
    <w:rsid w:val="28C61700"/>
    <w:rsid w:val="28D90704"/>
    <w:rsid w:val="290C4EDC"/>
    <w:rsid w:val="29635289"/>
    <w:rsid w:val="296E1870"/>
    <w:rsid w:val="2976035F"/>
    <w:rsid w:val="29C85E36"/>
    <w:rsid w:val="2A4A777D"/>
    <w:rsid w:val="2A5A482C"/>
    <w:rsid w:val="2A5D684B"/>
    <w:rsid w:val="2A8E3CE0"/>
    <w:rsid w:val="2AC15A4F"/>
    <w:rsid w:val="2B800A95"/>
    <w:rsid w:val="2BE27808"/>
    <w:rsid w:val="2C065740"/>
    <w:rsid w:val="2C505F57"/>
    <w:rsid w:val="2CB31912"/>
    <w:rsid w:val="2D291C03"/>
    <w:rsid w:val="2D450FCA"/>
    <w:rsid w:val="2D58602C"/>
    <w:rsid w:val="2DE0049D"/>
    <w:rsid w:val="2DFE1EE2"/>
    <w:rsid w:val="2E3D56B3"/>
    <w:rsid w:val="2E3D61E5"/>
    <w:rsid w:val="2E9C6E8A"/>
    <w:rsid w:val="2ED74DED"/>
    <w:rsid w:val="2F69689D"/>
    <w:rsid w:val="2F773B5E"/>
    <w:rsid w:val="2F845820"/>
    <w:rsid w:val="2F9B467C"/>
    <w:rsid w:val="2FFE2451"/>
    <w:rsid w:val="3003024A"/>
    <w:rsid w:val="306E4A8D"/>
    <w:rsid w:val="30862621"/>
    <w:rsid w:val="30E436DB"/>
    <w:rsid w:val="311C359A"/>
    <w:rsid w:val="3128406B"/>
    <w:rsid w:val="31460689"/>
    <w:rsid w:val="3156526D"/>
    <w:rsid w:val="31BB1005"/>
    <w:rsid w:val="322C68C2"/>
    <w:rsid w:val="323478FA"/>
    <w:rsid w:val="323A4620"/>
    <w:rsid w:val="33730C84"/>
    <w:rsid w:val="33D502B3"/>
    <w:rsid w:val="33D81437"/>
    <w:rsid w:val="33D84090"/>
    <w:rsid w:val="34171EBC"/>
    <w:rsid w:val="34CB3CE7"/>
    <w:rsid w:val="35555029"/>
    <w:rsid w:val="357C7A47"/>
    <w:rsid w:val="358F4C83"/>
    <w:rsid w:val="36465714"/>
    <w:rsid w:val="36AD4FD2"/>
    <w:rsid w:val="36CA1CEB"/>
    <w:rsid w:val="375B39FD"/>
    <w:rsid w:val="382B7137"/>
    <w:rsid w:val="385273AD"/>
    <w:rsid w:val="38ED17C0"/>
    <w:rsid w:val="39565757"/>
    <w:rsid w:val="39794AB5"/>
    <w:rsid w:val="39C806F5"/>
    <w:rsid w:val="3AF72931"/>
    <w:rsid w:val="3B08511D"/>
    <w:rsid w:val="3BFD3BE2"/>
    <w:rsid w:val="3CA65193"/>
    <w:rsid w:val="3CE33E5D"/>
    <w:rsid w:val="3D14560A"/>
    <w:rsid w:val="3D5C0225"/>
    <w:rsid w:val="3DD35929"/>
    <w:rsid w:val="3E506F79"/>
    <w:rsid w:val="3E7274CB"/>
    <w:rsid w:val="3EE77907"/>
    <w:rsid w:val="3F1B2955"/>
    <w:rsid w:val="3F1B4956"/>
    <w:rsid w:val="3F266653"/>
    <w:rsid w:val="3F505430"/>
    <w:rsid w:val="3F79434E"/>
    <w:rsid w:val="3FC72A15"/>
    <w:rsid w:val="3FF55DC7"/>
    <w:rsid w:val="401208C1"/>
    <w:rsid w:val="40A02459"/>
    <w:rsid w:val="40D53766"/>
    <w:rsid w:val="40E32F19"/>
    <w:rsid w:val="41686388"/>
    <w:rsid w:val="41DA04E3"/>
    <w:rsid w:val="41E93FAA"/>
    <w:rsid w:val="420C1409"/>
    <w:rsid w:val="4259782C"/>
    <w:rsid w:val="42663F48"/>
    <w:rsid w:val="42A15FF5"/>
    <w:rsid w:val="42BA70B7"/>
    <w:rsid w:val="4315522E"/>
    <w:rsid w:val="43D54F74"/>
    <w:rsid w:val="43E22771"/>
    <w:rsid w:val="43F06085"/>
    <w:rsid w:val="441C4C53"/>
    <w:rsid w:val="445E74BE"/>
    <w:rsid w:val="44833D25"/>
    <w:rsid w:val="45345B84"/>
    <w:rsid w:val="4595563A"/>
    <w:rsid w:val="45F91CA4"/>
    <w:rsid w:val="46050582"/>
    <w:rsid w:val="46431016"/>
    <w:rsid w:val="466C6C6B"/>
    <w:rsid w:val="467449A0"/>
    <w:rsid w:val="468060ED"/>
    <w:rsid w:val="46C44750"/>
    <w:rsid w:val="46D87C20"/>
    <w:rsid w:val="47157683"/>
    <w:rsid w:val="474456A1"/>
    <w:rsid w:val="477069D7"/>
    <w:rsid w:val="47730C19"/>
    <w:rsid w:val="480768FB"/>
    <w:rsid w:val="482C4CB7"/>
    <w:rsid w:val="48401E0D"/>
    <w:rsid w:val="485B4633"/>
    <w:rsid w:val="4868613C"/>
    <w:rsid w:val="48A10C69"/>
    <w:rsid w:val="48CF785B"/>
    <w:rsid w:val="48D54BDD"/>
    <w:rsid w:val="4905680A"/>
    <w:rsid w:val="49287F12"/>
    <w:rsid w:val="49335BB2"/>
    <w:rsid w:val="493B2C34"/>
    <w:rsid w:val="499F0C58"/>
    <w:rsid w:val="49A60395"/>
    <w:rsid w:val="49F11610"/>
    <w:rsid w:val="4A0550BC"/>
    <w:rsid w:val="4AAD4CC5"/>
    <w:rsid w:val="4AE60E63"/>
    <w:rsid w:val="4B0C23E1"/>
    <w:rsid w:val="4B1C3A09"/>
    <w:rsid w:val="4B3A46A3"/>
    <w:rsid w:val="4B477CA3"/>
    <w:rsid w:val="4B4946BF"/>
    <w:rsid w:val="4B4C6518"/>
    <w:rsid w:val="4B550D5F"/>
    <w:rsid w:val="4B5B58E7"/>
    <w:rsid w:val="4B6A396C"/>
    <w:rsid w:val="4BB45DEE"/>
    <w:rsid w:val="4BC06F17"/>
    <w:rsid w:val="4C055C74"/>
    <w:rsid w:val="4C0D64AA"/>
    <w:rsid w:val="4C4374AB"/>
    <w:rsid w:val="4C5410D3"/>
    <w:rsid w:val="4C6836E0"/>
    <w:rsid w:val="4C9034AA"/>
    <w:rsid w:val="4C977DA9"/>
    <w:rsid w:val="4C991AEB"/>
    <w:rsid w:val="4CD15729"/>
    <w:rsid w:val="4D107381"/>
    <w:rsid w:val="4D4001B9"/>
    <w:rsid w:val="4D4873EE"/>
    <w:rsid w:val="4D4E0B28"/>
    <w:rsid w:val="4E2C7854"/>
    <w:rsid w:val="4E747561"/>
    <w:rsid w:val="4E8F764A"/>
    <w:rsid w:val="4EF41D61"/>
    <w:rsid w:val="4F2F3EC3"/>
    <w:rsid w:val="4F3B034C"/>
    <w:rsid w:val="4F5116DB"/>
    <w:rsid w:val="4F6B7D62"/>
    <w:rsid w:val="4FD810B3"/>
    <w:rsid w:val="4FF84E41"/>
    <w:rsid w:val="501C7A49"/>
    <w:rsid w:val="5060129E"/>
    <w:rsid w:val="50D1626E"/>
    <w:rsid w:val="510924A1"/>
    <w:rsid w:val="51106FC6"/>
    <w:rsid w:val="51285252"/>
    <w:rsid w:val="512C73D2"/>
    <w:rsid w:val="512E626C"/>
    <w:rsid w:val="51654692"/>
    <w:rsid w:val="523932BF"/>
    <w:rsid w:val="52C11FF1"/>
    <w:rsid w:val="52F66513"/>
    <w:rsid w:val="53153676"/>
    <w:rsid w:val="531A4B6B"/>
    <w:rsid w:val="534C512D"/>
    <w:rsid w:val="537C59EB"/>
    <w:rsid w:val="53B611D5"/>
    <w:rsid w:val="53C91CB3"/>
    <w:rsid w:val="53D31CA5"/>
    <w:rsid w:val="53ED5360"/>
    <w:rsid w:val="53F210AA"/>
    <w:rsid w:val="54134EC6"/>
    <w:rsid w:val="549C3BDE"/>
    <w:rsid w:val="54B40493"/>
    <w:rsid w:val="55311625"/>
    <w:rsid w:val="55676C2B"/>
    <w:rsid w:val="55865403"/>
    <w:rsid w:val="558C043F"/>
    <w:rsid w:val="55BE0352"/>
    <w:rsid w:val="56356902"/>
    <w:rsid w:val="56382B12"/>
    <w:rsid w:val="56764C4B"/>
    <w:rsid w:val="575C58A2"/>
    <w:rsid w:val="57790E97"/>
    <w:rsid w:val="579D6934"/>
    <w:rsid w:val="57B75F38"/>
    <w:rsid w:val="57D837A1"/>
    <w:rsid w:val="57F2715C"/>
    <w:rsid w:val="587924B3"/>
    <w:rsid w:val="590F19C6"/>
    <w:rsid w:val="59315270"/>
    <w:rsid w:val="59642CB7"/>
    <w:rsid w:val="59D517EA"/>
    <w:rsid w:val="5A183BC7"/>
    <w:rsid w:val="5A610D25"/>
    <w:rsid w:val="5ACC09B8"/>
    <w:rsid w:val="5AE25C4E"/>
    <w:rsid w:val="5AF404F4"/>
    <w:rsid w:val="5AF7657C"/>
    <w:rsid w:val="5B0A50CA"/>
    <w:rsid w:val="5B7A1431"/>
    <w:rsid w:val="5BC07095"/>
    <w:rsid w:val="5C854638"/>
    <w:rsid w:val="5CE55B88"/>
    <w:rsid w:val="5CE91301"/>
    <w:rsid w:val="5D4C270F"/>
    <w:rsid w:val="5D7E2D63"/>
    <w:rsid w:val="5D914D50"/>
    <w:rsid w:val="5D9D713D"/>
    <w:rsid w:val="5DA36C6E"/>
    <w:rsid w:val="5DBB336D"/>
    <w:rsid w:val="5E260694"/>
    <w:rsid w:val="5E7B4D6F"/>
    <w:rsid w:val="5E9345EC"/>
    <w:rsid w:val="5ED657C7"/>
    <w:rsid w:val="5F097EED"/>
    <w:rsid w:val="5F93061C"/>
    <w:rsid w:val="600627FB"/>
    <w:rsid w:val="60103D53"/>
    <w:rsid w:val="6071185F"/>
    <w:rsid w:val="608C53ED"/>
    <w:rsid w:val="619112F5"/>
    <w:rsid w:val="61AE54A0"/>
    <w:rsid w:val="622C3977"/>
    <w:rsid w:val="62AD2806"/>
    <w:rsid w:val="6338305A"/>
    <w:rsid w:val="63464323"/>
    <w:rsid w:val="637531C2"/>
    <w:rsid w:val="63B91368"/>
    <w:rsid w:val="63D952C6"/>
    <w:rsid w:val="63FE15D5"/>
    <w:rsid w:val="64441500"/>
    <w:rsid w:val="64460E58"/>
    <w:rsid w:val="644D3B9F"/>
    <w:rsid w:val="64713D0B"/>
    <w:rsid w:val="64757EA6"/>
    <w:rsid w:val="64784D5B"/>
    <w:rsid w:val="64796498"/>
    <w:rsid w:val="64EE6DCC"/>
    <w:rsid w:val="655A4E92"/>
    <w:rsid w:val="656F21FC"/>
    <w:rsid w:val="65A9673F"/>
    <w:rsid w:val="65E971E8"/>
    <w:rsid w:val="65FE0EE5"/>
    <w:rsid w:val="66D5563F"/>
    <w:rsid w:val="66E15DDF"/>
    <w:rsid w:val="66EF082E"/>
    <w:rsid w:val="66F902A8"/>
    <w:rsid w:val="672C5B33"/>
    <w:rsid w:val="674C623C"/>
    <w:rsid w:val="67DD1E8C"/>
    <w:rsid w:val="67FC610F"/>
    <w:rsid w:val="687E630D"/>
    <w:rsid w:val="68E250F8"/>
    <w:rsid w:val="68EC737E"/>
    <w:rsid w:val="695145D5"/>
    <w:rsid w:val="69542E87"/>
    <w:rsid w:val="69765236"/>
    <w:rsid w:val="69F55709"/>
    <w:rsid w:val="6A033270"/>
    <w:rsid w:val="6A3053E5"/>
    <w:rsid w:val="6A896ED1"/>
    <w:rsid w:val="6A97168B"/>
    <w:rsid w:val="6ABD3FE7"/>
    <w:rsid w:val="6AF75F21"/>
    <w:rsid w:val="6AFD12FF"/>
    <w:rsid w:val="6B465A01"/>
    <w:rsid w:val="6B526F89"/>
    <w:rsid w:val="6BD33A49"/>
    <w:rsid w:val="6BE95620"/>
    <w:rsid w:val="6C027255"/>
    <w:rsid w:val="6C165B0F"/>
    <w:rsid w:val="6C7C2B64"/>
    <w:rsid w:val="6CCE1856"/>
    <w:rsid w:val="6D8109C5"/>
    <w:rsid w:val="6DD66EB5"/>
    <w:rsid w:val="6E4673E4"/>
    <w:rsid w:val="6E697118"/>
    <w:rsid w:val="6E90744A"/>
    <w:rsid w:val="6EA677C3"/>
    <w:rsid w:val="6EC63F39"/>
    <w:rsid w:val="6EED475C"/>
    <w:rsid w:val="6F1635CA"/>
    <w:rsid w:val="6F3C141B"/>
    <w:rsid w:val="6F3F3F7A"/>
    <w:rsid w:val="6F4A519B"/>
    <w:rsid w:val="6F524050"/>
    <w:rsid w:val="6F5E29F5"/>
    <w:rsid w:val="706829FB"/>
    <w:rsid w:val="70822232"/>
    <w:rsid w:val="70C42450"/>
    <w:rsid w:val="712B6906"/>
    <w:rsid w:val="71527393"/>
    <w:rsid w:val="71A13FAF"/>
    <w:rsid w:val="72702A37"/>
    <w:rsid w:val="727C0131"/>
    <w:rsid w:val="7293389E"/>
    <w:rsid w:val="72A51905"/>
    <w:rsid w:val="72B20169"/>
    <w:rsid w:val="732F2C76"/>
    <w:rsid w:val="73961D71"/>
    <w:rsid w:val="73F44E21"/>
    <w:rsid w:val="74744A68"/>
    <w:rsid w:val="75187D9E"/>
    <w:rsid w:val="755132AC"/>
    <w:rsid w:val="758F1B5A"/>
    <w:rsid w:val="75B0387E"/>
    <w:rsid w:val="75E30159"/>
    <w:rsid w:val="7654775F"/>
    <w:rsid w:val="76C54E87"/>
    <w:rsid w:val="77986392"/>
    <w:rsid w:val="77A25EDF"/>
    <w:rsid w:val="77C873AD"/>
    <w:rsid w:val="77CA25AB"/>
    <w:rsid w:val="780D1B2D"/>
    <w:rsid w:val="780F427D"/>
    <w:rsid w:val="78472D47"/>
    <w:rsid w:val="78574121"/>
    <w:rsid w:val="78FA1264"/>
    <w:rsid w:val="793A627C"/>
    <w:rsid w:val="79C04FDC"/>
    <w:rsid w:val="7AB30796"/>
    <w:rsid w:val="7AE63747"/>
    <w:rsid w:val="7AE71AF0"/>
    <w:rsid w:val="7B432D58"/>
    <w:rsid w:val="7B5E1C0D"/>
    <w:rsid w:val="7BB75966"/>
    <w:rsid w:val="7BC43F89"/>
    <w:rsid w:val="7C4B66F4"/>
    <w:rsid w:val="7C771DE4"/>
    <w:rsid w:val="7C7F75BF"/>
    <w:rsid w:val="7CAA60FC"/>
    <w:rsid w:val="7CC878FF"/>
    <w:rsid w:val="7CF56E74"/>
    <w:rsid w:val="7D4E5782"/>
    <w:rsid w:val="7D572E61"/>
    <w:rsid w:val="7D650960"/>
    <w:rsid w:val="7DD520D4"/>
    <w:rsid w:val="7DF804B8"/>
    <w:rsid w:val="7E6D629A"/>
    <w:rsid w:val="7EB27751"/>
    <w:rsid w:val="7F0013D2"/>
    <w:rsid w:val="7F062761"/>
    <w:rsid w:val="7F0A7EBE"/>
    <w:rsid w:val="7F30444E"/>
    <w:rsid w:val="7F7D6EC7"/>
    <w:rsid w:val="7F993C7B"/>
    <w:rsid w:val="7FA063EF"/>
    <w:rsid w:val="7FD518C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adjustRightInd w:val="0"/>
      <w:snapToGrid w:val="0"/>
      <w:spacing w:after="200" w:line="440" w:lineRule="exact"/>
      <w:ind w:firstLine="200" w:firstLineChars="200"/>
    </w:pPr>
    <w:rPr>
      <w:rFonts w:ascii="宋体" w:hAnsi="宋体" w:eastAsia="宋体" w:cs="宋体"/>
      <w:sz w:val="24"/>
      <w:szCs w:val="22"/>
      <w:lang w:val="en-US" w:eastAsia="en-US" w:bidi="ar-SA"/>
    </w:rPr>
  </w:style>
  <w:style w:type="paragraph" w:styleId="4">
    <w:name w:val="heading 1"/>
    <w:basedOn w:val="1"/>
    <w:next w:val="1"/>
    <w:qFormat/>
    <w:uiPriority w:val="0"/>
    <w:pPr>
      <w:spacing w:line="590" w:lineRule="exact"/>
      <w:ind w:left="6" w:firstLine="0" w:firstLineChars="0"/>
      <w:jc w:val="center"/>
      <w:outlineLvl w:val="0"/>
    </w:pPr>
    <w:rPr>
      <w:rFonts w:ascii="Microsoft JhengHei" w:hAnsi="Microsoft JhengHei" w:eastAsia="黑体" w:cs="Microsoft JhengHei"/>
      <w:bCs/>
      <w:sz w:val="36"/>
      <w:szCs w:val="44"/>
    </w:rPr>
  </w:style>
  <w:style w:type="paragraph" w:styleId="5">
    <w:name w:val="heading 2"/>
    <w:basedOn w:val="1"/>
    <w:next w:val="1"/>
    <w:link w:val="43"/>
    <w:qFormat/>
    <w:uiPriority w:val="0"/>
    <w:pPr>
      <w:spacing w:before="156" w:beforeLines="50" w:line="360" w:lineRule="auto"/>
      <w:ind w:firstLine="0" w:firstLineChars="0"/>
      <w:outlineLvl w:val="1"/>
    </w:pPr>
    <w:rPr>
      <w:rFonts w:ascii="黑体" w:hAnsi="黑体" w:eastAsia="黑体" w:cs="Microsoft JhengHei"/>
      <w:bCs/>
      <w:sz w:val="28"/>
      <w:szCs w:val="28"/>
      <w:lang w:eastAsia="zh-CN"/>
    </w:rPr>
  </w:style>
  <w:style w:type="paragraph" w:styleId="6">
    <w:name w:val="heading 3"/>
    <w:basedOn w:val="1"/>
    <w:next w:val="1"/>
    <w:qFormat/>
    <w:uiPriority w:val="0"/>
    <w:pPr>
      <w:spacing w:before="156" w:beforeLines="50" w:line="360" w:lineRule="auto"/>
      <w:ind w:firstLine="0" w:firstLineChars="0"/>
      <w:outlineLvl w:val="2"/>
    </w:pPr>
    <w:rPr>
      <w:b/>
      <w:szCs w:val="24"/>
      <w:lang w:eastAsia="zh-CN"/>
    </w:rPr>
  </w:style>
  <w:style w:type="character" w:default="1" w:styleId="25">
    <w:name w:val="Default Paragraph Font"/>
    <w:semiHidden/>
    <w:unhideWhenUsed/>
    <w:uiPriority w:val="1"/>
  </w:style>
  <w:style w:type="table" w:default="1" w:styleId="23">
    <w:name w:val="Normal Table"/>
    <w:semiHidden/>
    <w:unhideWhenUsed/>
    <w:uiPriority w:val="99"/>
    <w:tblPr>
      <w:tblLayout w:type="fixed"/>
      <w:tblCellMar>
        <w:top w:w="0" w:type="dxa"/>
        <w:left w:w="108" w:type="dxa"/>
        <w:bottom w:w="0" w:type="dxa"/>
        <w:right w:w="108" w:type="dxa"/>
      </w:tblCellMar>
    </w:tblPr>
  </w:style>
  <w:style w:type="paragraph" w:styleId="2">
    <w:name w:val="Body Text First Indent 2"/>
    <w:basedOn w:val="3"/>
    <w:next w:val="1"/>
    <w:link w:val="55"/>
    <w:qFormat/>
    <w:uiPriority w:val="0"/>
    <w:pPr>
      <w:ind w:firstLine="420"/>
    </w:pPr>
    <w:rPr>
      <w:kern w:val="2"/>
      <w:sz w:val="21"/>
    </w:rPr>
  </w:style>
  <w:style w:type="paragraph" w:styleId="3">
    <w:name w:val="Body Text Indent"/>
    <w:basedOn w:val="1"/>
    <w:next w:val="1"/>
    <w:qFormat/>
    <w:uiPriority w:val="0"/>
    <w:pPr>
      <w:widowControl/>
      <w:spacing w:after="120"/>
      <w:ind w:left="420" w:leftChars="200"/>
    </w:pPr>
    <w:rPr>
      <w:rFonts w:ascii="Calibri" w:hAnsi="Calibri" w:cs="Times New Roman"/>
      <w:sz w:val="20"/>
      <w:lang w:val="zh-CN" w:bidi="en-US"/>
    </w:rPr>
  </w:style>
  <w:style w:type="paragraph" w:styleId="7">
    <w:name w:val="Normal Indent"/>
    <w:basedOn w:val="1"/>
    <w:next w:val="1"/>
    <w:link w:val="57"/>
    <w:qFormat/>
    <w:uiPriority w:val="0"/>
    <w:pPr>
      <w:widowControl/>
      <w:spacing w:after="120" w:line="400" w:lineRule="exact"/>
      <w:ind w:firstLine="420"/>
    </w:pPr>
    <w:rPr>
      <w:rFonts w:ascii="Calibri" w:hAnsi="Calibri" w:cs="Times New Roman"/>
      <w:sz w:val="28"/>
      <w:szCs w:val="20"/>
      <w:lang w:val="zh-CN" w:bidi="en-US"/>
    </w:rPr>
  </w:style>
  <w:style w:type="paragraph" w:styleId="8">
    <w:name w:val="annotation text"/>
    <w:basedOn w:val="1"/>
    <w:qFormat/>
    <w:uiPriority w:val="0"/>
  </w:style>
  <w:style w:type="paragraph" w:styleId="9">
    <w:name w:val="Body Text"/>
    <w:basedOn w:val="1"/>
    <w:next w:val="10"/>
    <w:qFormat/>
    <w:uiPriority w:val="0"/>
    <w:rPr>
      <w:sz w:val="21"/>
      <w:szCs w:val="21"/>
    </w:rPr>
  </w:style>
  <w:style w:type="paragraph" w:styleId="10">
    <w:name w:val="Body Text 2"/>
    <w:basedOn w:val="1"/>
    <w:qFormat/>
    <w:uiPriority w:val="0"/>
    <w:pPr>
      <w:widowControl/>
    </w:pPr>
    <w:rPr>
      <w:rFonts w:ascii="Calibri" w:hAnsi="Calibri" w:cs="Times New Roman"/>
      <w:lang w:val="zh-CN" w:bidi="en-US"/>
    </w:rPr>
  </w:style>
  <w:style w:type="paragraph" w:styleId="11">
    <w:name w:val="Block Text"/>
    <w:basedOn w:val="1"/>
    <w:next w:val="1"/>
    <w:qFormat/>
    <w:uiPriority w:val="0"/>
    <w:pPr>
      <w:widowControl/>
      <w:spacing w:line="440" w:lineRule="atLeast"/>
      <w:ind w:firstLine="480"/>
    </w:pPr>
    <w:rPr>
      <w:rFonts w:ascii="Calibri"/>
      <w:bCs/>
      <w:i/>
      <w:strike/>
      <w:szCs w:val="24"/>
    </w:rPr>
  </w:style>
  <w:style w:type="paragraph" w:styleId="12">
    <w:name w:val="toc 3"/>
    <w:basedOn w:val="1"/>
    <w:next w:val="1"/>
    <w:qFormat/>
    <w:uiPriority w:val="0"/>
    <w:pPr>
      <w:spacing w:before="10" w:beforeLines="10" w:after="10" w:afterLines="10" w:line="240" w:lineRule="auto"/>
      <w:ind w:left="482"/>
    </w:pPr>
    <w:rPr>
      <w:rFonts w:ascii="Calibri" w:hAnsi="Calibri"/>
      <w:iCs/>
      <w:sz w:val="20"/>
      <w:szCs w:val="20"/>
    </w:rPr>
  </w:style>
  <w:style w:type="paragraph" w:styleId="13">
    <w:name w:val="Plain Text"/>
    <w:basedOn w:val="1"/>
    <w:qFormat/>
    <w:uiPriority w:val="0"/>
    <w:pPr>
      <w:widowControl/>
      <w:spacing w:after="120" w:line="400" w:lineRule="exact"/>
      <w:ind w:firstLine="567"/>
    </w:pPr>
    <w:rPr>
      <w:rFonts w:hAnsi="Courier New" w:cs="Times New Roman"/>
      <w:sz w:val="28"/>
      <w:szCs w:val="20"/>
      <w:lang w:val="zh-CN" w:bidi="en-US"/>
    </w:rPr>
  </w:style>
  <w:style w:type="paragraph" w:styleId="14">
    <w:name w:val="Date"/>
    <w:basedOn w:val="1"/>
    <w:next w:val="1"/>
    <w:link w:val="56"/>
    <w:qFormat/>
    <w:uiPriority w:val="0"/>
    <w:pPr>
      <w:ind w:left="100" w:leftChars="2500"/>
    </w:pPr>
  </w:style>
  <w:style w:type="paragraph" w:styleId="15">
    <w:name w:val="Balloon Text"/>
    <w:basedOn w:val="1"/>
    <w:link w:val="62"/>
    <w:qFormat/>
    <w:uiPriority w:val="0"/>
    <w:pPr>
      <w:spacing w:line="240" w:lineRule="auto"/>
    </w:pPr>
    <w:rPr>
      <w:sz w:val="18"/>
      <w:szCs w:val="18"/>
    </w:rPr>
  </w:style>
  <w:style w:type="paragraph" w:styleId="16">
    <w:name w:val="footer"/>
    <w:basedOn w:val="1"/>
    <w:qFormat/>
    <w:uiPriority w:val="0"/>
    <w:pPr>
      <w:tabs>
        <w:tab w:val="center" w:pos="4153"/>
        <w:tab w:val="right" w:pos="8306"/>
      </w:tabs>
      <w:spacing w:line="360" w:lineRule="atLeast"/>
      <w:textAlignment w:val="baseline"/>
    </w:pPr>
    <w:rPr>
      <w:rFonts w:ascii="Times New Roman" w:hAnsi="Times New Roman" w:cs="Times New Roman"/>
      <w:sz w:val="18"/>
      <w:szCs w:val="18"/>
      <w:lang w:eastAsia="zh-CN"/>
    </w:rPr>
  </w:style>
  <w:style w:type="paragraph" w:styleId="17">
    <w:name w:val="header"/>
    <w:basedOn w:val="1"/>
    <w:qFormat/>
    <w:uiPriority w:val="0"/>
    <w:pPr>
      <w:pBdr>
        <w:bottom w:val="single" w:color="auto" w:sz="6" w:space="1"/>
      </w:pBdr>
      <w:tabs>
        <w:tab w:val="center" w:pos="4153"/>
        <w:tab w:val="right" w:pos="8306"/>
      </w:tabs>
      <w:jc w:val="center"/>
    </w:pPr>
    <w:rPr>
      <w:kern w:val="2"/>
      <w:sz w:val="18"/>
      <w:szCs w:val="18"/>
      <w:lang w:eastAsia="zh-CN"/>
    </w:rPr>
  </w:style>
  <w:style w:type="paragraph" w:styleId="18">
    <w:name w:val="toc 1"/>
    <w:basedOn w:val="1"/>
    <w:next w:val="1"/>
    <w:qFormat/>
    <w:uiPriority w:val="0"/>
    <w:pPr>
      <w:spacing w:before="10" w:beforeLines="10" w:after="10" w:afterLines="10" w:line="240" w:lineRule="auto"/>
    </w:pPr>
    <w:rPr>
      <w:rFonts w:ascii="Calibri" w:hAnsi="Calibri"/>
      <w:b/>
      <w:bCs/>
      <w:caps/>
      <w:sz w:val="20"/>
      <w:szCs w:val="20"/>
    </w:rPr>
  </w:style>
  <w:style w:type="paragraph" w:styleId="19">
    <w:name w:val="Body Text Indent 3"/>
    <w:basedOn w:val="1"/>
    <w:link w:val="59"/>
    <w:qFormat/>
    <w:uiPriority w:val="0"/>
    <w:pPr>
      <w:spacing w:after="120"/>
      <w:ind w:left="420" w:leftChars="200"/>
    </w:pPr>
    <w:rPr>
      <w:sz w:val="16"/>
      <w:szCs w:val="16"/>
    </w:rPr>
  </w:style>
  <w:style w:type="paragraph" w:styleId="20">
    <w:name w:val="toc 2"/>
    <w:basedOn w:val="1"/>
    <w:next w:val="1"/>
    <w:qFormat/>
    <w:uiPriority w:val="0"/>
    <w:pPr>
      <w:spacing w:before="10" w:beforeLines="10" w:after="10" w:afterLines="10" w:line="240" w:lineRule="auto"/>
      <w:ind w:left="238"/>
    </w:pPr>
    <w:rPr>
      <w:rFonts w:ascii="Calibri" w:hAnsi="Calibri"/>
      <w:smallCaps/>
      <w:sz w:val="20"/>
      <w:szCs w:val="20"/>
    </w:rPr>
  </w:style>
  <w:style w:type="paragraph" w:styleId="21">
    <w:name w:val="Normal (Web)"/>
    <w:basedOn w:val="1"/>
    <w:qFormat/>
    <w:uiPriority w:val="99"/>
    <w:pPr>
      <w:widowControl/>
      <w:spacing w:before="100" w:beforeAutospacing="1" w:after="100" w:afterAutospacing="1"/>
    </w:pPr>
    <w:rPr>
      <w:szCs w:val="24"/>
      <w:lang w:val="ru-RU" w:eastAsia="ru-RU"/>
    </w:rPr>
  </w:style>
  <w:style w:type="paragraph" w:styleId="22">
    <w:name w:val="Body Text First Indent"/>
    <w:basedOn w:val="9"/>
    <w:next w:val="1"/>
    <w:qFormat/>
    <w:uiPriority w:val="0"/>
    <w:pPr>
      <w:widowControl/>
      <w:spacing w:after="120"/>
      <w:ind w:firstLine="420" w:firstLineChars="100"/>
    </w:pPr>
    <w:rPr>
      <w:rFonts w:ascii="Calibri" w:hAnsi="Calibri" w:cs="Times New Roman"/>
      <w:kern w:val="2"/>
      <w:lang w:val="zh-CN" w:bidi="en-US"/>
    </w:rPr>
  </w:style>
  <w:style w:type="table" w:styleId="24">
    <w:name w:val="Table Grid"/>
    <w:basedOn w:val="2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styleId="26">
    <w:name w:val="Strong"/>
    <w:qFormat/>
    <w:uiPriority w:val="22"/>
    <w:rPr>
      <w:b/>
      <w:bCs/>
    </w:rPr>
  </w:style>
  <w:style w:type="character" w:styleId="27">
    <w:name w:val="page number"/>
    <w:basedOn w:val="25"/>
    <w:qFormat/>
    <w:uiPriority w:val="0"/>
  </w:style>
  <w:style w:type="character" w:styleId="28">
    <w:name w:val="Hyperlink"/>
    <w:basedOn w:val="25"/>
    <w:qFormat/>
    <w:uiPriority w:val="0"/>
    <w:rPr>
      <w:color w:val="0563C1" w:themeColor="hyperlink"/>
      <w:u w:val="single"/>
      <w14:textFill>
        <w14:solidFill>
          <w14:schemeClr w14:val="hlink"/>
        </w14:solidFill>
      </w14:textFill>
    </w:rPr>
  </w:style>
  <w:style w:type="character" w:styleId="29">
    <w:name w:val="annotation reference"/>
    <w:basedOn w:val="25"/>
    <w:qFormat/>
    <w:uiPriority w:val="0"/>
    <w:rPr>
      <w:sz w:val="21"/>
      <w:szCs w:val="21"/>
    </w:rPr>
  </w:style>
  <w:style w:type="paragraph" w:customStyle="1" w:styleId="30">
    <w:name w:val="引言二级条标题"/>
    <w:basedOn w:val="31"/>
    <w:next w:val="32"/>
    <w:qFormat/>
    <w:uiPriority w:val="0"/>
    <w:pPr>
      <w:tabs>
        <w:tab w:val="left" w:pos="900"/>
      </w:tabs>
      <w:ind w:left="0" w:firstLine="0"/>
    </w:pPr>
  </w:style>
  <w:style w:type="paragraph" w:customStyle="1" w:styleId="31">
    <w:name w:val="引言一级条标题"/>
    <w:basedOn w:val="1"/>
    <w:next w:val="32"/>
    <w:qFormat/>
    <w:uiPriority w:val="0"/>
    <w:pPr>
      <w:tabs>
        <w:tab w:val="left" w:pos="900"/>
      </w:tabs>
      <w:ind w:left="900" w:hanging="900"/>
    </w:pPr>
    <w:rPr>
      <w:rFonts w:eastAsia="黑体"/>
      <w:b/>
      <w:szCs w:val="24"/>
    </w:rPr>
  </w:style>
  <w:style w:type="paragraph" w:customStyle="1" w:styleId="32">
    <w:name w:val="段"/>
    <w:qFormat/>
    <w:uiPriority w:val="0"/>
    <w:pPr>
      <w:tabs>
        <w:tab w:val="center" w:pos="4201"/>
        <w:tab w:val="right" w:leader="dot" w:pos="9298"/>
      </w:tabs>
      <w:autoSpaceDE w:val="0"/>
      <w:autoSpaceDN w:val="0"/>
      <w:spacing w:after="200" w:line="276" w:lineRule="auto"/>
      <w:ind w:firstLine="420" w:firstLineChars="200"/>
      <w:jc w:val="both"/>
    </w:pPr>
    <w:rPr>
      <w:rFonts w:ascii="宋体" w:hAnsi="Times New Roman" w:eastAsia="宋体" w:cs="Times New Roman"/>
      <w:sz w:val="21"/>
      <w:lang w:val="en-US" w:eastAsia="zh-CN" w:bidi="ar-SA"/>
    </w:rPr>
  </w:style>
  <w:style w:type="paragraph" w:customStyle="1" w:styleId="33">
    <w:name w:val="卷"/>
    <w:basedOn w:val="4"/>
    <w:qFormat/>
    <w:uiPriority w:val="0"/>
    <w:pPr>
      <w:snapToGrid/>
      <w:spacing w:before="156" w:beforeLines="50" w:line="360" w:lineRule="auto"/>
      <w:ind w:left="0"/>
    </w:pPr>
    <w:rPr>
      <w:rFonts w:ascii="黑体" w:hAnsi="黑体"/>
      <w:bCs w:val="0"/>
      <w:sz w:val="44"/>
      <w:lang w:eastAsia="zh-CN"/>
    </w:rPr>
  </w:style>
  <w:style w:type="character" w:customStyle="1" w:styleId="34">
    <w:name w:val="fontstyle21"/>
    <w:qFormat/>
    <w:uiPriority w:val="0"/>
    <w:rPr>
      <w:rFonts w:hint="eastAsia" w:ascii="宋体" w:hAnsi="宋体" w:eastAsia="宋体"/>
      <w:color w:val="000000"/>
      <w:sz w:val="22"/>
      <w:szCs w:val="22"/>
    </w:rPr>
  </w:style>
  <w:style w:type="paragraph" w:customStyle="1" w:styleId="35">
    <w:name w:val="Table Paragraph"/>
    <w:basedOn w:val="1"/>
    <w:qFormat/>
    <w:uiPriority w:val="0"/>
  </w:style>
  <w:style w:type="paragraph" w:customStyle="1" w:styleId="36">
    <w:name w:val="无间隔1"/>
    <w:link w:val="37"/>
    <w:qFormat/>
    <w:uiPriority w:val="0"/>
    <w:pPr>
      <w:adjustRightInd w:val="0"/>
      <w:snapToGrid w:val="0"/>
      <w:spacing w:after="200" w:line="276" w:lineRule="auto"/>
    </w:pPr>
    <w:rPr>
      <w:rFonts w:ascii="Calibri" w:hAnsi="Calibri" w:eastAsia="宋体" w:cs="Times New Roman"/>
      <w:sz w:val="22"/>
      <w:szCs w:val="22"/>
      <w:lang w:val="en-US" w:eastAsia="zh-CN" w:bidi="ar-SA"/>
    </w:rPr>
  </w:style>
  <w:style w:type="character" w:customStyle="1" w:styleId="37">
    <w:name w:val="无间隔 Char"/>
    <w:link w:val="36"/>
    <w:qFormat/>
    <w:uiPriority w:val="0"/>
    <w:rPr>
      <w:rFonts w:ascii="Calibri" w:hAnsi="Calibri"/>
      <w:sz w:val="22"/>
      <w:szCs w:val="22"/>
      <w:lang w:val="en-US" w:eastAsia="zh-CN" w:bidi="ar-SA"/>
    </w:rPr>
  </w:style>
  <w:style w:type="paragraph" w:customStyle="1" w:styleId="38">
    <w:name w:val="无间隔2"/>
    <w:basedOn w:val="1"/>
    <w:qFormat/>
    <w:uiPriority w:val="0"/>
    <w:pPr>
      <w:widowControl/>
      <w:spacing w:line="240" w:lineRule="auto"/>
      <w:ind w:firstLine="0" w:firstLineChars="0"/>
    </w:pPr>
    <w:rPr>
      <w:rFonts w:ascii="Calibri" w:hAnsi="Calibri" w:cs="Times New Roman"/>
      <w:sz w:val="22"/>
      <w:lang w:eastAsia="zh-CN"/>
    </w:rPr>
  </w:style>
  <w:style w:type="paragraph" w:customStyle="1" w:styleId="39">
    <w:name w:val="无间隔4"/>
    <w:qFormat/>
    <w:uiPriority w:val="0"/>
    <w:pPr>
      <w:spacing w:after="200" w:line="276" w:lineRule="auto"/>
    </w:pPr>
    <w:rPr>
      <w:rFonts w:ascii="Calibri" w:hAnsi="Calibri" w:eastAsia="宋体" w:cs="Times New Roman"/>
      <w:sz w:val="22"/>
      <w:szCs w:val="22"/>
      <w:lang w:val="en-US" w:eastAsia="en-US" w:bidi="en-US"/>
    </w:rPr>
  </w:style>
  <w:style w:type="paragraph" w:customStyle="1" w:styleId="40">
    <w:name w:val="正文1"/>
    <w:basedOn w:val="1"/>
    <w:qFormat/>
    <w:uiPriority w:val="0"/>
    <w:pPr>
      <w:widowControl/>
      <w:spacing w:line="360" w:lineRule="atLeast"/>
    </w:pPr>
    <w:rPr>
      <w:rFonts w:hAnsi="Times New Roman"/>
    </w:rPr>
  </w:style>
  <w:style w:type="paragraph" w:customStyle="1" w:styleId="41">
    <w:name w:val="正文文本缩进1"/>
    <w:basedOn w:val="1"/>
    <w:qFormat/>
    <w:uiPriority w:val="0"/>
    <w:pPr>
      <w:widowControl/>
      <w:spacing w:after="120" w:line="360" w:lineRule="auto"/>
      <w:ind w:left="420" w:leftChars="200"/>
    </w:pPr>
    <w:rPr>
      <w:rFonts w:ascii="Calibri" w:hAnsi="Calibri" w:cs="Times New Roman"/>
      <w:lang w:val="zh-CN" w:bidi="en-US"/>
    </w:rPr>
  </w:style>
  <w:style w:type="paragraph" w:customStyle="1" w:styleId="42">
    <w:name w:val="列出段落1"/>
    <w:basedOn w:val="1"/>
    <w:qFormat/>
    <w:uiPriority w:val="0"/>
  </w:style>
  <w:style w:type="character" w:customStyle="1" w:styleId="43">
    <w:name w:val="Заголовок 2 Знак"/>
    <w:link w:val="5"/>
    <w:qFormat/>
    <w:uiPriority w:val="0"/>
    <w:rPr>
      <w:rFonts w:ascii="黑体" w:hAnsi="黑体" w:eastAsia="黑体" w:cs="Microsoft JhengHei"/>
      <w:bCs/>
      <w:sz w:val="28"/>
      <w:szCs w:val="28"/>
      <w:lang w:eastAsia="zh-CN"/>
    </w:rPr>
  </w:style>
  <w:style w:type="paragraph" w:customStyle="1" w:styleId="44">
    <w:name w:val="正文文本首行缩进 21"/>
    <w:basedOn w:val="45"/>
    <w:qFormat/>
    <w:uiPriority w:val="0"/>
    <w:pPr>
      <w:spacing w:after="120"/>
      <w:ind w:left="420" w:firstLine="420"/>
    </w:pPr>
    <w:rPr>
      <w:szCs w:val="24"/>
    </w:rPr>
  </w:style>
  <w:style w:type="paragraph" w:customStyle="1" w:styleId="45">
    <w:name w:val="Body Text Indent1"/>
    <w:basedOn w:val="1"/>
    <w:qFormat/>
    <w:uiPriority w:val="0"/>
    <w:pPr>
      <w:widowControl/>
      <w:spacing w:line="360" w:lineRule="auto"/>
      <w:ind w:firstLine="540"/>
    </w:pPr>
    <w:rPr>
      <w:rFonts w:ascii="Century Gothic"/>
      <w:color w:val="000000"/>
      <w:sz w:val="28"/>
      <w:szCs w:val="20"/>
    </w:rPr>
  </w:style>
  <w:style w:type="paragraph" w:customStyle="1" w:styleId="46">
    <w:name w:val="样式 附录标题 +"/>
    <w:basedOn w:val="1"/>
    <w:qFormat/>
    <w:uiPriority w:val="0"/>
    <w:pPr>
      <w:widowControl/>
      <w:spacing w:before="156" w:beforeLines="50" w:after="156" w:afterLines="50" w:line="400" w:lineRule="exact"/>
      <w:ind w:firstLine="482"/>
    </w:pPr>
    <w:rPr>
      <w:rFonts w:eastAsia="华文中宋"/>
      <w:b/>
      <w:bCs/>
    </w:rPr>
  </w:style>
  <w:style w:type="character" w:customStyle="1" w:styleId="47">
    <w:name w:val="font21"/>
    <w:basedOn w:val="25"/>
    <w:qFormat/>
    <w:uiPriority w:val="0"/>
    <w:rPr>
      <w:rFonts w:hint="eastAsia" w:ascii="宋体" w:hAnsi="宋体" w:eastAsia="宋体" w:cs="宋体"/>
      <w:color w:val="000000"/>
      <w:sz w:val="32"/>
      <w:szCs w:val="32"/>
      <w:u w:val="none"/>
    </w:rPr>
  </w:style>
  <w:style w:type="character" w:customStyle="1" w:styleId="48">
    <w:name w:val="font11"/>
    <w:basedOn w:val="25"/>
    <w:qFormat/>
    <w:uiPriority w:val="0"/>
    <w:rPr>
      <w:rFonts w:hint="eastAsia" w:ascii="FangSong_GB2312" w:eastAsia="FangSong_GB2312" w:cs="FangSong_GB2312"/>
      <w:color w:val="000000"/>
      <w:sz w:val="32"/>
      <w:szCs w:val="32"/>
      <w:u w:val="none"/>
    </w:rPr>
  </w:style>
  <w:style w:type="character" w:customStyle="1" w:styleId="49">
    <w:name w:val="font31"/>
    <w:basedOn w:val="25"/>
    <w:qFormat/>
    <w:uiPriority w:val="0"/>
    <w:rPr>
      <w:rFonts w:hint="eastAsia" w:ascii="FangSong_GB2312" w:eastAsia="FangSong_GB2312" w:cs="FangSong_GB2312"/>
      <w:color w:val="000000"/>
      <w:sz w:val="32"/>
      <w:szCs w:val="32"/>
      <w:u w:val="none"/>
    </w:rPr>
  </w:style>
  <w:style w:type="character" w:customStyle="1" w:styleId="50">
    <w:name w:val="disabled"/>
    <w:qFormat/>
    <w:uiPriority w:val="0"/>
    <w:rPr>
      <w:color w:val="FFE3C6"/>
      <w:bdr w:val="single" w:color="C4C4C4" w:sz="6" w:space="0"/>
    </w:rPr>
  </w:style>
  <w:style w:type="paragraph" w:styleId="51">
    <w:name w:val="No Spacing"/>
    <w:link w:val="52"/>
    <w:qFormat/>
    <w:uiPriority w:val="0"/>
    <w:pPr>
      <w:adjustRightInd w:val="0"/>
      <w:snapToGrid w:val="0"/>
      <w:spacing w:after="200" w:line="276" w:lineRule="auto"/>
    </w:pPr>
    <w:rPr>
      <w:rFonts w:ascii="Calibri" w:hAnsi="Calibri" w:eastAsiaTheme="minorEastAsia" w:cstheme="minorBidi"/>
      <w:sz w:val="22"/>
      <w:szCs w:val="22"/>
      <w:lang w:val="en-US" w:eastAsia="zh-CN" w:bidi="ar-SA"/>
    </w:rPr>
  </w:style>
  <w:style w:type="character" w:customStyle="1" w:styleId="52">
    <w:name w:val="Без интервала Знак"/>
    <w:link w:val="51"/>
    <w:qFormat/>
    <w:uiPriority w:val="0"/>
    <w:rPr>
      <w:rFonts w:ascii="Calibri" w:hAnsi="Calibri" w:eastAsiaTheme="minorEastAsia" w:cstheme="minorBidi"/>
      <w:sz w:val="22"/>
      <w:szCs w:val="22"/>
    </w:rPr>
  </w:style>
  <w:style w:type="paragraph" w:customStyle="1" w:styleId="53">
    <w:name w:val="正文缩进1"/>
    <w:basedOn w:val="1"/>
    <w:qFormat/>
    <w:uiPriority w:val="0"/>
    <w:pPr>
      <w:adjustRightInd/>
      <w:snapToGrid/>
      <w:spacing w:line="240" w:lineRule="auto"/>
      <w:ind w:firstLine="420"/>
      <w:jc w:val="both"/>
    </w:pPr>
    <w:rPr>
      <w:rFonts w:ascii="Times New Roman" w:hAnsi="Times New Roman" w:cs="Times New Roman"/>
      <w:kern w:val="2"/>
      <w:sz w:val="21"/>
      <w:lang w:eastAsia="zh-CN"/>
    </w:rPr>
  </w:style>
  <w:style w:type="character" w:customStyle="1" w:styleId="54">
    <w:name w:val="未处理的提及1"/>
    <w:basedOn w:val="25"/>
    <w:semiHidden/>
    <w:unhideWhenUsed/>
    <w:qFormat/>
    <w:uiPriority w:val="99"/>
    <w:rPr>
      <w:color w:val="605E5C"/>
      <w:shd w:val="clear" w:color="auto" w:fill="E1DFDD"/>
    </w:rPr>
  </w:style>
  <w:style w:type="character" w:customStyle="1" w:styleId="55">
    <w:name w:val="Красная строка 2 Знак"/>
    <w:link w:val="2"/>
    <w:qFormat/>
    <w:uiPriority w:val="0"/>
    <w:rPr>
      <w:rFonts w:ascii="Calibri" w:hAnsi="Calibri"/>
      <w:kern w:val="2"/>
      <w:sz w:val="21"/>
      <w:szCs w:val="22"/>
      <w:lang w:val="zh-CN" w:eastAsia="en-US" w:bidi="en-US"/>
    </w:rPr>
  </w:style>
  <w:style w:type="character" w:customStyle="1" w:styleId="56">
    <w:name w:val="Дата Знак"/>
    <w:basedOn w:val="25"/>
    <w:link w:val="14"/>
    <w:qFormat/>
    <w:uiPriority w:val="0"/>
    <w:rPr>
      <w:rFonts w:ascii="宋体" w:hAnsi="宋体" w:cs="宋体"/>
      <w:sz w:val="24"/>
      <w:szCs w:val="22"/>
      <w:lang w:eastAsia="en-US"/>
    </w:rPr>
  </w:style>
  <w:style w:type="character" w:customStyle="1" w:styleId="57">
    <w:name w:val="Обычный отступ Знак"/>
    <w:link w:val="7"/>
    <w:qFormat/>
    <w:uiPriority w:val="0"/>
    <w:rPr>
      <w:rFonts w:ascii="Calibri" w:hAnsi="Calibri"/>
      <w:sz w:val="28"/>
      <w:lang w:val="zh-CN" w:eastAsia="en-US" w:bidi="en-US"/>
    </w:rPr>
  </w:style>
  <w:style w:type="paragraph" w:customStyle="1" w:styleId="58">
    <w:name w:val="正文文本缩进4"/>
    <w:basedOn w:val="1"/>
    <w:qFormat/>
    <w:uiPriority w:val="0"/>
    <w:pPr>
      <w:adjustRightInd/>
      <w:snapToGrid/>
      <w:spacing w:after="160" w:line="278" w:lineRule="auto"/>
      <w:ind w:left="-2" w:leftChars="-1" w:firstLine="1" w:firstLineChars="0"/>
      <w:jc w:val="both"/>
    </w:pPr>
    <w:rPr>
      <w:rFonts w:ascii="FangSong_GB2312" w:hAnsi="Times New Roman" w:eastAsia="FangSong_GB2312" w:cs="Times New Roman"/>
      <w:kern w:val="2"/>
      <w:sz w:val="28"/>
      <w:szCs w:val="24"/>
      <w:lang w:eastAsia="zh-CN"/>
    </w:rPr>
  </w:style>
  <w:style w:type="character" w:customStyle="1" w:styleId="59">
    <w:name w:val="Основной текст с отступом 3 Знак"/>
    <w:basedOn w:val="25"/>
    <w:link w:val="19"/>
    <w:qFormat/>
    <w:uiPriority w:val="0"/>
    <w:rPr>
      <w:rFonts w:ascii="宋体" w:hAnsi="宋体" w:cs="宋体"/>
      <w:sz w:val="16"/>
      <w:szCs w:val="16"/>
      <w:lang w:eastAsia="en-US"/>
    </w:rPr>
  </w:style>
  <w:style w:type="paragraph" w:styleId="60">
    <w:name w:val="List Paragraph"/>
    <w:basedOn w:val="1"/>
    <w:unhideWhenUsed/>
    <w:qFormat/>
    <w:uiPriority w:val="0"/>
    <w:pPr>
      <w:ind w:firstLine="420"/>
    </w:pPr>
  </w:style>
  <w:style w:type="character" w:customStyle="1" w:styleId="61">
    <w:name w:val="无间隔 字符1"/>
    <w:qFormat/>
    <w:uiPriority w:val="0"/>
    <w:rPr>
      <w:rFonts w:ascii="Cambria" w:hAnsi="Cambria" w:eastAsia="宋体" w:cs="Times New Roman"/>
      <w:lang w:val="zh-CN" w:bidi="en-US"/>
    </w:rPr>
  </w:style>
  <w:style w:type="character" w:customStyle="1" w:styleId="62">
    <w:name w:val="Текст выноски Знак"/>
    <w:basedOn w:val="25"/>
    <w:link w:val="15"/>
    <w:qFormat/>
    <w:uiPriority w:val="0"/>
    <w:rPr>
      <w:rFonts w:ascii="宋体" w:hAnsi="宋体" w:cs="宋体"/>
      <w:sz w:val="18"/>
      <w:szCs w:val="18"/>
      <w:lang w:eastAsia="en-US"/>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2.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theme" Target="theme/theme1.xml"/><Relationship Id="rId11" Type="http://schemas.openxmlformats.org/officeDocument/2006/relationships/footer" Target="footer5.xml"/><Relationship Id="rId10" Type="http://schemas.openxmlformats.org/officeDocument/2006/relationships/footer" Target="footer4.xml"/><Relationship Id="rId1" Type="http://schemas.openxmlformats.org/officeDocument/2006/relationships/styles" Target="styles.xml"/></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8DA6854-C7C6-4DA5-9AD4-33013F9A6ADD}">
  <ds:schemaRefs/>
</ds:datastoreItem>
</file>

<file path=docProps/app.xml><?xml version="1.0" encoding="utf-8"?>
<Properties xmlns="http://schemas.openxmlformats.org/officeDocument/2006/extended-properties" xmlns:vt="http://schemas.openxmlformats.org/officeDocument/2006/docPropsVTypes">
  <Template>Normal.dotm</Template>
  <Pages>23</Pages>
  <Words>3221</Words>
  <Characters>18365</Characters>
  <Lines>153</Lines>
  <Paragraphs>43</Paragraphs>
  <TotalTime>5</TotalTime>
  <ScaleCrop>false</ScaleCrop>
  <LinksUpToDate>false</LinksUpToDate>
  <CharactersWithSpaces>21543</CharactersWithSpaces>
  <Application>WPS Office_11.8.2.8555_F1E327BC-269C-435d-A152-05C5408002CA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2025-08-21T09:55:00Z</dcterms:created>
  <dc:creator>朱潮兴</dc:creator>
  <cp:lastModifiedBy>XYM</cp:lastModifiedBy>
  <cp:lastPrinted>2023-04-14T08:46:00Z</cp:lastPrinted>
  <dcterms:modified xsi:type="dcterms:W3CDTF">2025-08-26T02:58:21Z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2052-11.8.2.8555</vt:lpwstr>
  </property>
  <property fmtid="{D5CDD505-2E9C-101B-9397-08002B2CF9AE}" pid="3" name="ICV">
    <vt:lpwstr>EF20C0EEC5A449D8BDC3BFA90E3F74A9</vt:lpwstr>
  </property>
  <property fmtid="{D5CDD505-2E9C-101B-9397-08002B2CF9AE}" pid="4" name="KSOTemplateDocerSaveRecord">
    <vt:lpwstr>eyJoZGlkIjoiZDI5YTU0MTczOTlkMDRiYzJkNzlmMTFjODkxZjhiYzUiLCJ1c2VySWQiOiIzNTUwMzY0ODIifQ==</vt:lpwstr>
  </property>
</Properties>
</file>