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5"/>
        <w:gridCol w:w="4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8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highlight w:val="none"/>
              </w:rPr>
              <w:t>Техническая спецификация на закупку инженерного  автотранспорта</w:t>
            </w:r>
            <w:r>
              <w:rPr>
                <w:rFonts w:hint="default" w:ascii="Times New Roman" w:hAnsi="Times New Roman" w:cs="Times New Roman"/>
                <w:b/>
                <w:sz w:val="28"/>
                <w:highlight w:val="none"/>
              </w:rPr>
              <w:t>(третья партия)</w:t>
            </w:r>
            <w:r>
              <w:rPr>
                <w:rFonts w:hint="default" w:ascii="Times New Roman" w:hAnsi="Times New Roman" w:cs="Times New Roman"/>
                <w:b/>
                <w:sz w:val="28"/>
                <w:highlight w:val="none"/>
              </w:rPr>
              <w:t xml:space="preserve"> ТОО «Актауская энергетическая компания»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bookmarkStart w:id="0" w:name="OLE_LINK2"/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阿克套能源有限责任公司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工程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车辆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第三批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采购技术规范书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Общая информация о проекте: </w:t>
            </w:r>
          </w:p>
        </w:tc>
        <w:tc>
          <w:tcPr>
            <w:tcW w:w="4176" w:type="dxa"/>
            <w:vAlign w:val="top"/>
          </w:tcPr>
          <w:p>
            <w:pPr>
              <w:pStyle w:val="2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ru-RU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基本内容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Times New Roman" w:hAnsi="Times New Roman" w:eastAsia="Times New Roman" w:cs="Times New Roman"/>
                <w:sz w:val="24"/>
                <w:szCs w:val="24"/>
                <w:lang w:eastAsia="zh-CN"/>
              </w:rPr>
              <w:t>Обзор проекта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Актау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проект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расположен на западе Казахстана, примерно в 10 км к юго-востоку от города Актау, административного центра Мангистауской области. Проект реализуется совместно компанией «Huadian Overseas Investment» и Мангистауским атомно-энергетическим комбинатом (Казахстан) в соотношении долей 70% к 30%. Установленная мощность составляет 160 МВт, планируемое число часов использования — 5500 часов в год.</w:t>
            </w:r>
          </w:p>
        </w:tc>
        <w:tc>
          <w:tcPr>
            <w:tcW w:w="4176" w:type="dxa"/>
            <w:vAlign w:val="top"/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（一）项目概况：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阿克套项目位于哈萨克斯坦西部曼吉斯套州府阿克套市东南约10公里，由华电海投与哈萨克斯坦曼格斯套原子能联合公司以70%:30%股比合资建设，装机容量16万千瓦，利用小时数5500小时。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highlight w:val="none"/>
              </w:rPr>
              <w:t xml:space="preserve"> （2）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Содержание закупки: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Chars="0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Для более эффективного и упорядоченного продвижения строительных работ, а также для обеспечения потребностей в служебном транспорте, планируется приобрести новые автомобили: один пикап с двигателем 2.0T .</w:t>
            </w:r>
          </w:p>
        </w:tc>
        <w:tc>
          <w:tcPr>
            <w:tcW w:w="4176" w:type="dxa"/>
            <w:vAlign w:val="top"/>
          </w:tcPr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（二）采购内容：</w:t>
            </w:r>
          </w:p>
          <w:p>
            <w:pPr>
              <w:pStyle w:val="3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为更加高效有序推进工程建设工作，满足工程建设用车需求，拟购置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全新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2.8T皮卡车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42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66" w:leftChars="0"/>
              <w:textAlignment w:val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>Требования к количеству пассажирских мест: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5 мест (включая водителя)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/>
              </w:rPr>
              <w:t>2、核定载客人数要求：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5座（含驾驶员）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42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Chars="0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Год выпуска: 2025 и позднее. 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  <w:t>3、生产年份：2025年及以后。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II. Технические требования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/>
              </w:rPr>
              <w:t>二、技术要求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36"/>
              </w:rPr>
              <w:t>Модель: 2.0T 8AT (чёрный)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28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36"/>
              </w:rPr>
              <w:t>Двигатель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Тип двигателя: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бензиновый с турбонаддувом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Рабочий объём (см³):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1967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Цилиндры / компоновка: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4 / рядный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Макс. мощность: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218 л.с. (160 кВт) / 5500 об/мин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Макс. крутящий момент: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380 Н·м / 1800–3600 об/мин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Экологический стандарт: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Euro 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Трансмиссия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Привод: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полный привод 4WD (ToD)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Коробка передач: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гидромеханическая автоматическая (с ручным режимом)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Количество передач: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车型：2.0T 8AT（黑色）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发动机：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发动机类型：汽油，带涡轮增压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排量，cm³：1967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气缸数及排列：4，直列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最大功率：218 马力（160 kW）/ 5500 转/分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 最大扭矩：380 牛·米 / 1800–3600 转/分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排放标准：欧 6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传动系统：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驱动形式：全轮驱动 4WD（ToD）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变速箱：液力机械式自动变速箱（带手动模式）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档位数：8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Кузов и размеры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Тип кузова: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рамный пикап (5 мест)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Д × Ш × В (мм):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5416 × 1947 × 1884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Колёсная база (мм):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3230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Дорожный просвет (мм):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232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Глубина преодолеваемого брода (мм):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500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Размер шин: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265 / 60 R18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车身与尺寸：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 xml:space="preserve">•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车身类型：非承载式皮卡（5座）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 xml:space="preserve">•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长×宽×高，mm：5416×1947×1884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 xml:space="preserve">•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轴距，mm：3230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 xml:space="preserve">•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离地间隙，mm：232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 xml:space="preserve">•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涉水深度，mm：500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轮胎规格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：265 / 60 R18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Подвеска и тормоза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Передняя подвеска: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независимая, двойные поперечные рычаги, пружины, стабилизатор поперечной устойчивости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Задняя подвеска: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зависимая, мост, рессорная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Тормоза (перед/зад):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дисковые вентилируемые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Усилитель руля: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электрический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悬架与制动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br w:type="textWrapping"/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 xml:space="preserve">•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前悬架：独立双横臂螺旋弹簧悬架，带横向稳定杆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 xml:space="preserve">•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后悬架：整体桥式，钢板弹簧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 xml:space="preserve">•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制动系统（前/后）：通风盘式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转向助力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：电动助力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Масса и грузоподъёмность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Снаряжённая масса (кг):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2140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Полная масса (кг):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3115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Грузоподъёмность (кг):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975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Размер грузового отсека (мм):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1520 × 1520 × 538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Масса буксировки (с тормозами / без):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2500 / 750 кг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Объём топливного бака (л):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78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质量与载重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整备质量，kg：2140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总质量，kg：3115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载重能力，kg：975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货箱尺寸，mm：1520 × 1520 × 538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拖车质量（有制动/无制动），kg：2500 / 750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 油箱容量，L：78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Эксплуатационные характеристики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Максимальная скорость (км/ч):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165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Расход топлива (город):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11,5 л/100 км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Расход топлива (загород):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9 л/100 км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Смешанный расход: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10,6 л/100 км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使用性能：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最高车速，km/h：165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城市油耗，L/100 km：11.5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郊区油耗，L/100 km：9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综合油耗，L/100 km：10.6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2. Обычное оснащение (справочно)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/>
              </w:rPr>
              <w:t>2、常规配置（参考）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2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6"/>
              </w:rPr>
              <w:t>Колёса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18-дюймовые диски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Передние и задние дисковые тормоза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Полноразмерное запасное колесо (стальной диск), размещённое под задней подвеской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Система контроля давления в шинах (TPMS)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车轮：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18英寸轮毂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 前后盘式制动器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全尺寸备胎（钢制轮毂），位于后悬下方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胎压监测系统 TPMS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Экстерьер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Декоративная решётка радиатора тёмно-серого цвета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Зеркала заднего вида и дверные ручки в цвет кузова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Короткая антенна типа «акулий плавник»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Фиксированные боковые подножки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Подножка заднего бампера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Защитная облицовка грузовой платформы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Рейлинги на крыше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外观：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深灰色涂装的假进气格栅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与车身同色的后视镜和车门把手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“鲨鱼鳍”短天线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 固定式侧踏板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 后保险杠踏板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货箱保护衬板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车顶行李架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Аудио и электронные системы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Быстрая беспроводная зарядка 50 Вт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Мультимедийная система с поддержкой беспроводного Android Auto и Apple CarPlay, Bluetooth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USB-разъёмы: 2 спереди, 2 сзади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12,3-дюймовый сенсорный HD-дисплей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7-дюймовая цветная цифровая приборная панель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Аудиосистема с 6 динамиками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Автоматическая регулировка громкости в зависимости от скорости движения 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音响与电子系统: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• 50W 快速无线充电器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多• 媒体系统，支持无线 Android Auto / Apple CarPlay 接口，蓝牙连接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前排 USB 接口 x2，后排 USB 接口 x2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12.3 英寸高清触摸显示屏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7 英寸彩色数字仪表盘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6 扬声器音响系统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随车速自动调节音量的音响系统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Сиденья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Подогрев и вентиляция передних сидений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Электрорегулировка передних сидений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сидений: перфорированная натуральная кожа + искусственная кожа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Центральный подлокотник с отделением для хранения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Центральный подлокотник второго ряда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Центральный подголовник второго ряда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Складывание задних сидений в пропорции 40:60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pict>
                <v:rect id="_x0000_i1025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Шасси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Специальная антикоррозийная обработка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Автоматический полный привод (TOD)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Понижающая передача (низкий ряд раздаточной коробки)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Блокировка заднего дифференциала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Система выбора режимов движения (экономичный / стандарт / спортивный)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Физическое управление внедорожными функциями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Система помощи при трогании в гору и спуске с горы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Защитные элементы двигателя и топливного бака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Обогрев наружных зеркал, электрорегулировка и электроскладывание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Обогрев зоны покоя стеклоочистителей, подогрев форсунок стеклоомывателя, обогрев заднего стекла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Электростеклоподъёмники всех дверей (автоматическое поднятие/опускание и защита от защемления)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Подогрев рулевого колеса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Однозонный автоматический климат-контроль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Задние воздуховоды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Бесключевой доступ для водителя и переднего пассажира, запуск двигателя кнопкой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Центральный замок с дистанционным управлением, 2 интеллектуальных ключа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Электронный стояночный тормоз (EPB) с функцией AutoHold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Электроусилитель руля с изменяемым усилием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Регулировка рулевой колонки по высоте и вылету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 рулевые лепестки переключения передач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Электронный селектор передач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Передние и задние парковочные датчики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Кнопка управления внешними электрическими устройствами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12V розетка спереди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Иммобилайзер двигателя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Дистанционный запуск двигателя с ключа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Аккумулятор увеличенной ёмкости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Система поиска автомобиля с дистанционной активацией звука и света.</w:t>
            </w:r>
          </w:p>
        </w:tc>
        <w:tc>
          <w:tcPr>
            <w:tcW w:w="4176" w:type="dxa"/>
            <w:vAlign w:val="top"/>
          </w:tcPr>
          <w:p>
            <w:pPr>
              <w:pStyle w:val="4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座椅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前排座椅加热及通风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前排座椅电动调节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座椅材质：打孔真皮 + 人造皮革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中央扶手（带储物空间）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第二排中央扶手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第二排中央头枕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后排座椅40:60比例放倒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pict>
                <v:rect id="_x0000_i1026" o:spt="1" style="height:1.5pt;width:0pt;" fillcolor="#A0A0A0" filled="t" stroked="f" coordsize="21600,21600" o:hr="t" o:hrstd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00" w:beforeAutospacing="1" w:after="100" w:afterAutospacing="1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底盘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专用防腐处理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自动全轮驱动（TOD）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低速挡（分动箱低速档）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后差速锁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驾驶模式选择系统（经济 / 标准 / 运动）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越野功能实体控制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上坡辅助及陡坡缓降系统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发动机及油箱防护装置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外后视镜加热、电动调节及电动折叠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雨刮停放区加热、玻璃清洗喷嘴加热、后挡风玻璃加热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四门电动车窗（自动升降及防夹功能）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方向盘加热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单区自动空调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后排出风口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主副驾驶无钥匙进入，一键启动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中控门锁遥控，配备2把智能钥匙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电子驻车制动（EPB）带AutoHold功能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可变助力电动转向系统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方向盘上下及前后调节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换挡拨片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电子换挡器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前后驻车雷达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外接电器控制按钮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前排12V电源接口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发动机防盗锁止系统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遥控钥匙远程启动发动机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大容量蓄电池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车辆查找系统（远程声光提示）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Освещение и обзор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Светодиодные фары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Светодиодные дневные ходовые огни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Светодиодные задние фонари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Противотуманные фары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Функция задержки выключения фар после запирания автомобиля («проводи меня домой»)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Датчики дождя и освещённости </w:t>
            </w:r>
          </w:p>
        </w:tc>
        <w:tc>
          <w:tcPr>
            <w:tcW w:w="4176" w:type="dxa"/>
            <w:vAlign w:val="top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照明与视野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LED前大灯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LED日间行车灯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LED尾灯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雾灯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锁车后大灯延时关闭功能（“伴我回家”）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• 雨量与光线传感器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Безопасность и защита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Передние подушки безопасности, боковые подушки и боковые шторки безопасности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 xml:space="preserve">Система стабилизации движения: ABS (антиблокировочная система тормозов)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Электронная система курсовой устойчивости ESC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Система распределения тормозных усилий EBD с усилителем экстренного торможения BAS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Система кругового обзора 360°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Адаптивный круиз-контроль ACC с ассистентом движения в пробках TJA и интеллектуальным круиз-ассистентом ICA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Автоматическое экстренное торможение AEB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Система распознавания дорожных знаков TSR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Система мониторинга слепых зон BSM, ассистент смены полосы, предупреждение о выходе из полосы LDW с удержанием в полосе LKA (функция возврата в центр полосы)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Интеллектуальная система уклонения Smart Dodge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Предупреждение о фронтальном столкновении FCW и заднем столкновении RCW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Ассистент выезда задним ходом с парковочного места с функцией торможения RCTA / RCTB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Система помощи при трогании на подъёме HHC и спуске HDC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Ограничитель скорости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Автоматическое включение аварийной сигнализации при экстренном торможении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Напоминание о непристёгнутых передних ремнях безопасности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Передние ремни безопасности с преднатяжителями и ограничителями усилия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Задние трёхточечные ремни безопасности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Крепления ISOFIX для детских кресел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•  Автоматическое отключение подачи топлива и топлива в системе при столкновении (SCM)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</w:pPr>
            <w:r>
              <w:rPr>
                <w:rFonts w:ascii="Times New Roman" w:hAnsi="Times New Roman" w:cs="Times New Roman"/>
                <w:sz w:val="24"/>
              </w:rPr>
              <w:t>•  Детский замок задних дверей (предотвращение случайного открытия изнутри)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安全与防护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前排安全气囊、侧气囊及侧气帘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车身稳定系统：ABS（防抱死制动系统）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电子稳定控制系统 ESC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制动力分配系统 EBD + 紧急制动辅助系统 BAS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360°全景影像系统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自适应巡航控制 ACC（带交通拥堵辅助 TJA 和智能巡航辅助 ICA）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自动紧急制动系统 AEB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交通标志识别系统 TSR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盲区监测系统 BSM、变道辅助、车道偏离预警 LDW 及车道保持辅助 LKA（车道居中功能）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智能避让系统 Smart Dodge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前碰撞预警 FCW 和后碰撞预警 RCW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倒车侧后方预警及制动辅助系统 RCTA / RCTB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上坡辅助系统 HHC 和陡坡缓降系统 HDC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车速限制器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紧急制动时自动开启危险警示灯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前排安全带未系提醒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前排安全带（带预紧器和限力器）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后排三点式安全带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ISOFIX 儿童安全座椅接口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碰撞后自动断油系统（SCM）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• 后门儿童安全锁（防止车内误开门）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ascii="Times New Roman" w:hAnsi="Times New Roman" w:eastAsia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8"/>
              </w:rPr>
              <w:t>3. Прочие требования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8"/>
              </w:rPr>
              <w:t>Срок и место поставки: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</w:rPr>
              <w:t xml:space="preserve"> 30 календарных дней / город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</w:rPr>
              <w:t xml:space="preserve"> Актау.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eastAsia="Times New Roman" w:cs="Times New Roman"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Запрещается устанавливать в автомобиле GPS-трекер, а также функции удалённой блокировки.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三、其他要求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1、交付期限及地点：30个自然日 / 阿克套市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2、不得在车辆内加装GPS跟踪以及远程锁定功能。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 Условия оценки (положения по контролю/приёмке)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tabs>
                <w:tab w:val="left" w:pos="567"/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textAlignment w:val="auto"/>
            </w:pPr>
            <w:r>
              <w:rPr>
                <w:b/>
                <w:sz w:val="44"/>
              </w:rPr>
              <w:t xml:space="preserve"> </w:t>
            </w:r>
            <w:r>
              <w:rPr>
                <w:rStyle w:val="8"/>
              </w:rPr>
              <w:t>Гарантийный срок на оборудование (автомобиль)</w:t>
            </w:r>
            <w:r>
              <w:t xml:space="preserve"> составляет 3 года или 100 000 км пробега с момента поставки. В течение гарантийного периода поставщик обязан бесплатно устранить дефекты или неисправности, возникшие по причине ошибок проектирования, материалов или производства, включая замену или ремонт.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textAlignment w:val="auto"/>
              <w:rPr>
                <w:sz w:val="28"/>
              </w:rPr>
            </w:pPr>
            <w:r>
              <w:rPr>
                <w:rStyle w:val="8"/>
              </w:rPr>
              <w:t>Поставщик обязан</w:t>
            </w:r>
            <w:r>
              <w:t xml:space="preserve"> после получения уведомления о неисправности прибыть на место в течение 48 часов и оперативно устранить неисправность.</w:t>
            </w:r>
          </w:p>
        </w:tc>
        <w:tc>
          <w:tcPr>
            <w:tcW w:w="4176" w:type="dxa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四、考核条款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1、设备质量保证期（质保期）为交货后3年或100,000公里，在质保期内由于卖方设计、材料或工艺的原因所造成的设备缺陷或故障，卖方应免费更换、修理设备。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2、供货方在接到故障信息后，48小时内达到故障现场及时排除故障。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0742F6"/>
    <w:multiLevelType w:val="singleLevel"/>
    <w:tmpl w:val="C20742F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63131FF"/>
    <w:multiLevelType w:val="multilevel"/>
    <w:tmpl w:val="063131F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A23170B"/>
    <w:multiLevelType w:val="multilevel"/>
    <w:tmpl w:val="0A23170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1E9F7972"/>
    <w:multiLevelType w:val="multilevel"/>
    <w:tmpl w:val="1E9F797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290B3E88"/>
    <w:multiLevelType w:val="multilevel"/>
    <w:tmpl w:val="290B3E8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2941532F"/>
    <w:multiLevelType w:val="multilevel"/>
    <w:tmpl w:val="2941532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36F4761C"/>
    <w:multiLevelType w:val="multilevel"/>
    <w:tmpl w:val="36F4761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475C4D22"/>
    <w:multiLevelType w:val="multilevel"/>
    <w:tmpl w:val="475C4D2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4E4B67A4"/>
    <w:multiLevelType w:val="multilevel"/>
    <w:tmpl w:val="4E4B67A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53FD45CA"/>
    <w:multiLevelType w:val="multilevel"/>
    <w:tmpl w:val="53FD45C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61263F80"/>
    <w:multiLevelType w:val="multilevel"/>
    <w:tmpl w:val="61263F8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67406133"/>
    <w:multiLevelType w:val="multilevel"/>
    <w:tmpl w:val="6740613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69576AAF"/>
    <w:multiLevelType w:val="multilevel"/>
    <w:tmpl w:val="69576AAF"/>
    <w:lvl w:ilvl="0" w:tentative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sz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6ABA1E67"/>
    <w:multiLevelType w:val="multilevel"/>
    <w:tmpl w:val="6ABA1E6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>
    <w:nsid w:val="791E4C20"/>
    <w:multiLevelType w:val="multilevel"/>
    <w:tmpl w:val="791E4C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3"/>
  </w:num>
  <w:num w:numId="6">
    <w:abstractNumId w:val="9"/>
  </w:num>
  <w:num w:numId="7">
    <w:abstractNumId w:val="7"/>
  </w:num>
  <w:num w:numId="8">
    <w:abstractNumId w:val="10"/>
  </w:num>
  <w:num w:numId="9">
    <w:abstractNumId w:val="8"/>
  </w:num>
  <w:num w:numId="10">
    <w:abstractNumId w:val="6"/>
  </w:num>
  <w:num w:numId="11">
    <w:abstractNumId w:val="1"/>
  </w:num>
  <w:num w:numId="12">
    <w:abstractNumId w:val="11"/>
  </w:num>
  <w:num w:numId="13">
    <w:abstractNumId w:val="4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16"/>
    <w:rsid w:val="00005478"/>
    <w:rsid w:val="00012432"/>
    <w:rsid w:val="0001348A"/>
    <w:rsid w:val="000138E6"/>
    <w:rsid w:val="00015607"/>
    <w:rsid w:val="0002377B"/>
    <w:rsid w:val="00036FE3"/>
    <w:rsid w:val="00061AF7"/>
    <w:rsid w:val="00074388"/>
    <w:rsid w:val="00081922"/>
    <w:rsid w:val="00091EB1"/>
    <w:rsid w:val="000A4454"/>
    <w:rsid w:val="000A6DAC"/>
    <w:rsid w:val="000D650E"/>
    <w:rsid w:val="000D7C71"/>
    <w:rsid w:val="000E30D0"/>
    <w:rsid w:val="0010306A"/>
    <w:rsid w:val="00104D57"/>
    <w:rsid w:val="001052DB"/>
    <w:rsid w:val="00112718"/>
    <w:rsid w:val="00187BC4"/>
    <w:rsid w:val="00191F41"/>
    <w:rsid w:val="00197A8F"/>
    <w:rsid w:val="001A624E"/>
    <w:rsid w:val="001E230B"/>
    <w:rsid w:val="001E47F2"/>
    <w:rsid w:val="001E55AD"/>
    <w:rsid w:val="001F265D"/>
    <w:rsid w:val="00212ABF"/>
    <w:rsid w:val="00217781"/>
    <w:rsid w:val="00221167"/>
    <w:rsid w:val="00222805"/>
    <w:rsid w:val="00222A11"/>
    <w:rsid w:val="00236B55"/>
    <w:rsid w:val="0024233C"/>
    <w:rsid w:val="002606FD"/>
    <w:rsid w:val="0027448F"/>
    <w:rsid w:val="00285FA6"/>
    <w:rsid w:val="002A7E37"/>
    <w:rsid w:val="002B76FF"/>
    <w:rsid w:val="002D11DA"/>
    <w:rsid w:val="002D50CD"/>
    <w:rsid w:val="002E3A70"/>
    <w:rsid w:val="002F7D59"/>
    <w:rsid w:val="003057E2"/>
    <w:rsid w:val="00306B88"/>
    <w:rsid w:val="0033296C"/>
    <w:rsid w:val="00335BC9"/>
    <w:rsid w:val="00346BB5"/>
    <w:rsid w:val="00355823"/>
    <w:rsid w:val="003B1380"/>
    <w:rsid w:val="003E29E5"/>
    <w:rsid w:val="003E7078"/>
    <w:rsid w:val="00401CB1"/>
    <w:rsid w:val="00403622"/>
    <w:rsid w:val="004134E9"/>
    <w:rsid w:val="00435FA2"/>
    <w:rsid w:val="00436C52"/>
    <w:rsid w:val="00443ADE"/>
    <w:rsid w:val="00450353"/>
    <w:rsid w:val="0045321B"/>
    <w:rsid w:val="00456377"/>
    <w:rsid w:val="00463F7B"/>
    <w:rsid w:val="00464E72"/>
    <w:rsid w:val="00465DB8"/>
    <w:rsid w:val="00471671"/>
    <w:rsid w:val="004A2249"/>
    <w:rsid w:val="004A768A"/>
    <w:rsid w:val="004C66F1"/>
    <w:rsid w:val="004F2CF8"/>
    <w:rsid w:val="005068AE"/>
    <w:rsid w:val="00515E68"/>
    <w:rsid w:val="00517666"/>
    <w:rsid w:val="0052471B"/>
    <w:rsid w:val="00540B5D"/>
    <w:rsid w:val="00541FF6"/>
    <w:rsid w:val="00566E62"/>
    <w:rsid w:val="00567BF7"/>
    <w:rsid w:val="0057447D"/>
    <w:rsid w:val="005B2562"/>
    <w:rsid w:val="005D5FED"/>
    <w:rsid w:val="005E0F62"/>
    <w:rsid w:val="005F515A"/>
    <w:rsid w:val="005F7D1E"/>
    <w:rsid w:val="00604166"/>
    <w:rsid w:val="00617821"/>
    <w:rsid w:val="0063421C"/>
    <w:rsid w:val="00635D39"/>
    <w:rsid w:val="006372AD"/>
    <w:rsid w:val="00647B66"/>
    <w:rsid w:val="00663616"/>
    <w:rsid w:val="00666D6D"/>
    <w:rsid w:val="00677227"/>
    <w:rsid w:val="006D532C"/>
    <w:rsid w:val="006E34D5"/>
    <w:rsid w:val="006E49B4"/>
    <w:rsid w:val="006E7D69"/>
    <w:rsid w:val="006F02E4"/>
    <w:rsid w:val="00740B4D"/>
    <w:rsid w:val="00772CE3"/>
    <w:rsid w:val="00774DDC"/>
    <w:rsid w:val="007A14AE"/>
    <w:rsid w:val="007B32FC"/>
    <w:rsid w:val="007B77CE"/>
    <w:rsid w:val="007C1F63"/>
    <w:rsid w:val="007D5756"/>
    <w:rsid w:val="007D709A"/>
    <w:rsid w:val="007E4300"/>
    <w:rsid w:val="00801E60"/>
    <w:rsid w:val="00803043"/>
    <w:rsid w:val="0080593B"/>
    <w:rsid w:val="00807665"/>
    <w:rsid w:val="00832281"/>
    <w:rsid w:val="00855630"/>
    <w:rsid w:val="0085663F"/>
    <w:rsid w:val="008655D9"/>
    <w:rsid w:val="00867DA2"/>
    <w:rsid w:val="00873B1C"/>
    <w:rsid w:val="00896C3D"/>
    <w:rsid w:val="008975E7"/>
    <w:rsid w:val="008A25D5"/>
    <w:rsid w:val="008B13D8"/>
    <w:rsid w:val="008B1568"/>
    <w:rsid w:val="008D07FF"/>
    <w:rsid w:val="008D640A"/>
    <w:rsid w:val="008E4139"/>
    <w:rsid w:val="008E5E3D"/>
    <w:rsid w:val="008F1955"/>
    <w:rsid w:val="008F3140"/>
    <w:rsid w:val="0090204B"/>
    <w:rsid w:val="009027D3"/>
    <w:rsid w:val="00912125"/>
    <w:rsid w:val="00921492"/>
    <w:rsid w:val="00930D84"/>
    <w:rsid w:val="0095209B"/>
    <w:rsid w:val="00955D5C"/>
    <w:rsid w:val="00962CB9"/>
    <w:rsid w:val="009840AE"/>
    <w:rsid w:val="00984781"/>
    <w:rsid w:val="00995B3A"/>
    <w:rsid w:val="00996FF9"/>
    <w:rsid w:val="009A1DF7"/>
    <w:rsid w:val="009B5788"/>
    <w:rsid w:val="009C2839"/>
    <w:rsid w:val="009C39AE"/>
    <w:rsid w:val="009D2753"/>
    <w:rsid w:val="009D2B62"/>
    <w:rsid w:val="009E1674"/>
    <w:rsid w:val="00A00172"/>
    <w:rsid w:val="00A04853"/>
    <w:rsid w:val="00A229B3"/>
    <w:rsid w:val="00A36DBD"/>
    <w:rsid w:val="00A40C56"/>
    <w:rsid w:val="00A42744"/>
    <w:rsid w:val="00A43442"/>
    <w:rsid w:val="00A46977"/>
    <w:rsid w:val="00A53691"/>
    <w:rsid w:val="00A5602C"/>
    <w:rsid w:val="00A63BCD"/>
    <w:rsid w:val="00A70065"/>
    <w:rsid w:val="00A7281C"/>
    <w:rsid w:val="00A87542"/>
    <w:rsid w:val="00AA5AF3"/>
    <w:rsid w:val="00AA6DD6"/>
    <w:rsid w:val="00AB01A6"/>
    <w:rsid w:val="00AB30EB"/>
    <w:rsid w:val="00AC1FD3"/>
    <w:rsid w:val="00AC2664"/>
    <w:rsid w:val="00AC5DBA"/>
    <w:rsid w:val="00AD50DB"/>
    <w:rsid w:val="00AF16A9"/>
    <w:rsid w:val="00B128A8"/>
    <w:rsid w:val="00B1656A"/>
    <w:rsid w:val="00B21009"/>
    <w:rsid w:val="00B44046"/>
    <w:rsid w:val="00B52913"/>
    <w:rsid w:val="00B76A35"/>
    <w:rsid w:val="00B921C2"/>
    <w:rsid w:val="00B97991"/>
    <w:rsid w:val="00BA400A"/>
    <w:rsid w:val="00BA5D68"/>
    <w:rsid w:val="00BB0043"/>
    <w:rsid w:val="00BC015C"/>
    <w:rsid w:val="00BC14BD"/>
    <w:rsid w:val="00BC2B75"/>
    <w:rsid w:val="00BD5594"/>
    <w:rsid w:val="00BD7054"/>
    <w:rsid w:val="00BE3B04"/>
    <w:rsid w:val="00BF0BB0"/>
    <w:rsid w:val="00BF5BEF"/>
    <w:rsid w:val="00BF7AAA"/>
    <w:rsid w:val="00C0535F"/>
    <w:rsid w:val="00C05C0B"/>
    <w:rsid w:val="00C078E8"/>
    <w:rsid w:val="00C171BD"/>
    <w:rsid w:val="00C31A84"/>
    <w:rsid w:val="00C42ECA"/>
    <w:rsid w:val="00C43666"/>
    <w:rsid w:val="00C54AA1"/>
    <w:rsid w:val="00C60F16"/>
    <w:rsid w:val="00C71913"/>
    <w:rsid w:val="00C86873"/>
    <w:rsid w:val="00C92050"/>
    <w:rsid w:val="00CA3D74"/>
    <w:rsid w:val="00CB3FA2"/>
    <w:rsid w:val="00CB6DBE"/>
    <w:rsid w:val="00CC0FD7"/>
    <w:rsid w:val="00CC313C"/>
    <w:rsid w:val="00CC53AB"/>
    <w:rsid w:val="00CD64D3"/>
    <w:rsid w:val="00CE710A"/>
    <w:rsid w:val="00CF617C"/>
    <w:rsid w:val="00D10184"/>
    <w:rsid w:val="00D169D7"/>
    <w:rsid w:val="00D263FC"/>
    <w:rsid w:val="00D30DB0"/>
    <w:rsid w:val="00D417EF"/>
    <w:rsid w:val="00D521A2"/>
    <w:rsid w:val="00D64350"/>
    <w:rsid w:val="00D671B9"/>
    <w:rsid w:val="00D75DA5"/>
    <w:rsid w:val="00D82626"/>
    <w:rsid w:val="00D8276E"/>
    <w:rsid w:val="00D90BFB"/>
    <w:rsid w:val="00D929E6"/>
    <w:rsid w:val="00DA2EF2"/>
    <w:rsid w:val="00DA6772"/>
    <w:rsid w:val="00DB7282"/>
    <w:rsid w:val="00DF1D4D"/>
    <w:rsid w:val="00E02C52"/>
    <w:rsid w:val="00E1524F"/>
    <w:rsid w:val="00E17481"/>
    <w:rsid w:val="00E40B08"/>
    <w:rsid w:val="00E431EB"/>
    <w:rsid w:val="00E57E4F"/>
    <w:rsid w:val="00E87EE4"/>
    <w:rsid w:val="00E92ABB"/>
    <w:rsid w:val="00E95BBA"/>
    <w:rsid w:val="00E96ACA"/>
    <w:rsid w:val="00EB199B"/>
    <w:rsid w:val="00EC33B3"/>
    <w:rsid w:val="00EC6B1F"/>
    <w:rsid w:val="00F01DBA"/>
    <w:rsid w:val="00F20796"/>
    <w:rsid w:val="00F53789"/>
    <w:rsid w:val="00F54011"/>
    <w:rsid w:val="00F571B2"/>
    <w:rsid w:val="00F70F29"/>
    <w:rsid w:val="00F72896"/>
    <w:rsid w:val="00F75887"/>
    <w:rsid w:val="00F80A56"/>
    <w:rsid w:val="00F90B6D"/>
    <w:rsid w:val="00FB1154"/>
    <w:rsid w:val="00FD42F9"/>
    <w:rsid w:val="00FE06DD"/>
    <w:rsid w:val="00FE45D9"/>
    <w:rsid w:val="00FF2DDB"/>
    <w:rsid w:val="00FF757C"/>
    <w:rsid w:val="056C1206"/>
    <w:rsid w:val="1B3366E8"/>
    <w:rsid w:val="3E6473D6"/>
    <w:rsid w:val="531C714B"/>
    <w:rsid w:val="748F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8"/>
      <w:szCs w:val="20"/>
      <w:lang w:val="en-US"/>
    </w:rPr>
  </w:style>
  <w:style w:type="paragraph" w:styleId="3">
    <w:name w:val="Body Text Indent 3"/>
    <w:basedOn w:val="1"/>
    <w:link w:val="10"/>
    <w:qFormat/>
    <w:uiPriority w:val="0"/>
    <w:pPr>
      <w:widowControl w:val="0"/>
      <w:spacing w:after="120" w:line="240" w:lineRule="auto"/>
      <w:ind w:left="420" w:leftChars="200"/>
      <w:jc w:val="both"/>
    </w:pPr>
    <w:rPr>
      <w:rFonts w:hint="eastAsia" w:ascii="Calibri" w:hAnsi="Calibri" w:eastAsia="宋体" w:cs="Times New Roman"/>
      <w:kern w:val="2"/>
      <w:sz w:val="16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Основной текст Знак"/>
    <w:basedOn w:val="7"/>
    <w:link w:val="2"/>
    <w:qFormat/>
    <w:uiPriority w:val="0"/>
    <w:rPr>
      <w:rFonts w:ascii="Times New Roman" w:hAnsi="Times New Roman" w:eastAsia="宋体" w:cs="Times New Roman"/>
      <w:kern w:val="2"/>
      <w:sz w:val="28"/>
      <w:szCs w:val="20"/>
      <w:lang w:val="en-US"/>
    </w:rPr>
  </w:style>
  <w:style w:type="character" w:customStyle="1" w:styleId="10">
    <w:name w:val="Основной текст с отступом 3 Знак"/>
    <w:basedOn w:val="7"/>
    <w:link w:val="3"/>
    <w:qFormat/>
    <w:uiPriority w:val="0"/>
    <w:rPr>
      <w:rFonts w:ascii="Calibri" w:hAnsi="Calibri" w:eastAsia="宋体" w:cs="Times New Roman"/>
      <w:kern w:val="2"/>
      <w:sz w:val="16"/>
      <w:lang w:val="en-US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3608</Words>
  <Characters>20568</Characters>
  <Lines>171</Lines>
  <Paragraphs>48</Paragraphs>
  <TotalTime>3</TotalTime>
  <ScaleCrop>false</ScaleCrop>
  <LinksUpToDate>false</LinksUpToDate>
  <CharactersWithSpaces>24128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2026-04-20T04:53:00Z</dcterms:created>
  <dc:creator>Админ</dc:creator>
  <cp:lastModifiedBy>杜卫锋</cp:lastModifiedBy>
  <dcterms:modified xsi:type="dcterms:W3CDTF">2026-04-22T07:25:20Z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E62A31D60E1F4165880290067F6D124D</vt:lpwstr>
  </property>
</Properties>
</file>